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CSX Corporation (CSX) — Q2 2026 Earnings Preview</w:t>
      </w:r>
    </w:p>
    <w:p>
      <w:r>
        <w:rPr>
          <w:rFonts w:ascii="Calibri" w:hAnsi="Calibri"/>
          <w:b/>
          <w:color w:val="525866"/>
          <w:sz w:val="22"/>
        </w:rPr>
        <w:t xml:space="preserve">Upcoming Earnings Date: </w:t>
      </w:r>
      <w:r>
        <w:rPr>
          <w:rFonts w:ascii="Calibri" w:hAnsi="Calibri"/>
          <w:color w:val="525866"/>
          <w:sz w:val="22"/>
        </w:rPr>
        <w:t xml:space="preserve">~July 2026 (Q2 2026)     </w:t>
      </w:r>
      <w:r>
        <w:rPr>
          <w:rFonts w:ascii="Calibri" w:hAnsi="Calibri"/>
          <w:b/>
          <w:color w:val="525866"/>
          <w:sz w:val="22"/>
        </w:rPr>
        <w:t xml:space="preserve">Prepared: </w:t>
      </w:r>
      <w:r>
        <w:rPr>
          <w:rFonts w:ascii="Calibri" w:hAnsi="Calibri"/>
          <w:color w:val="525866"/>
          <w:sz w:val="22"/>
        </w:rPr>
        <w:t xml:space="preserve">July 21, 2026     </w:t>
      </w:r>
      <w:r>
        <w:rPr>
          <w:rFonts w:ascii="Calibri" w:hAnsi="Calibri"/>
          <w:b/>
          <w:color w:val="525866"/>
          <w:sz w:val="22"/>
        </w:rPr>
        <w:t xml:space="preserve">Last Earnings: </w:t>
      </w:r>
      <w:r>
        <w:rPr>
          <w:rFonts w:ascii="Calibri" w:hAnsi="Calibri"/>
          <w:color w:val="525866"/>
          <w:sz w:val="22"/>
        </w:rPr>
        <w:t>April 22, 2026 (Q1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favors a beat — consensus has moved up since Q1 but still sits below management's raised guidance trajectory, and the biggest swing factor is whether the </w:t>
      </w:r>
      <w:r>
        <w:rPr>
          <w:rFonts w:ascii="Calibri" w:hAnsi="Calibri"/>
          <w:b/>
          <w:color w:val="525866"/>
          <w:sz w:val="22"/>
        </w:rPr>
        <w:t>intermodal volume surge</w:t>
      </w:r>
      <w:r>
        <w:rPr>
          <w:rFonts w:ascii="Calibri" w:hAnsi="Calibri"/>
          <w:color w:val="525866"/>
          <w:sz w:val="22"/>
        </w:rPr>
        <w:t xml:space="preserve"> (JBHT reported a 10% YoY record quarter with accelerating eastern conversion) translates into CSX's Q2 carload and revenue numbers.</w:t>
      </w:r>
    </w:p>
    <w:p>
      <w:r>
        <w:rPr>
          <w:rFonts w:ascii="Calibri" w:hAnsi="Calibri"/>
          <w:color w:val="525866"/>
          <w:sz w:val="22"/>
        </w:rPr>
        <w:t xml:space="preserve">Heading into Q2 2026, the bar for CSX looks achievable but not easy: consensus EPS of </w:t>
      </w:r>
      <w:r>
        <w:rPr>
          <w:rFonts w:ascii="Calibri" w:hAnsi="Calibri"/>
          <w:b/>
          <w:color w:val="525866"/>
          <w:sz w:val="22"/>
        </w:rPr>
        <w:t>$0.51</w:t>
      </w:r>
      <w:r>
        <w:rPr>
          <w:rFonts w:ascii="Calibri" w:hAnsi="Calibri"/>
          <w:color w:val="525866"/>
          <w:sz w:val="22"/>
        </w:rPr>
        <w:t xml:space="preserve"> implies ~18% YoY growth, and revenue consensus of </w:t>
      </w:r>
      <w:r>
        <w:rPr>
          <w:rFonts w:ascii="Calibri" w:hAnsi="Calibri"/>
          <w:b/>
          <w:color w:val="525866"/>
          <w:sz w:val="22"/>
        </w:rPr>
        <w:t>$3.90B</w:t>
      </w:r>
      <w:r>
        <w:rPr>
          <w:rFonts w:ascii="Calibri" w:hAnsi="Calibri"/>
          <w:color w:val="525866"/>
          <w:sz w:val="22"/>
        </w:rPr>
        <w:t xml:space="preserve"> (+9% YoY) is a step up from Q1's 2% growth — a gap that requires meaningful volume acceleration and fuel surcharge tailwinds to close. Management's tone shifted decisively more confident at Q1: they raised full-year revenue guidance to </w:t>
      </w:r>
      <w:r>
        <w:rPr>
          <w:rFonts w:ascii="Calibri" w:hAnsi="Calibri"/>
          <w:b/>
          <w:color w:val="525866"/>
          <w:sz w:val="22"/>
        </w:rPr>
        <w:t>mid-single digits</w:t>
      </w:r>
      <w:r>
        <w:rPr>
          <w:rFonts w:ascii="Calibri" w:hAnsi="Calibri"/>
          <w:color w:val="525866"/>
          <w:sz w:val="22"/>
        </w:rPr>
        <w:t xml:space="preserve"> (from low-single digits), guided operating margin expansion toward the </w:t>
      </w:r>
      <w:r>
        <w:rPr>
          <w:rFonts w:ascii="Calibri" w:hAnsi="Calibri"/>
          <w:b/>
          <w:color w:val="525866"/>
          <w:sz w:val="22"/>
        </w:rPr>
        <w:t>high end of 200–300 bps</w:t>
      </w:r>
      <w:r>
        <w:rPr>
          <w:rFonts w:ascii="Calibri" w:hAnsi="Calibri"/>
          <w:color w:val="525866"/>
          <w:sz w:val="22"/>
        </w:rPr>
        <w:t xml:space="preserve">, and raised free cash flow growth guidance to </w:t>
      </w:r>
      <w:r>
        <w:rPr>
          <w:rFonts w:ascii="Calibri" w:hAnsi="Calibri"/>
          <w:b/>
          <w:color w:val="525866"/>
          <w:sz w:val="22"/>
        </w:rPr>
        <w:t>&gt;60% vs. 2025</w:t>
      </w:r>
      <w:r>
        <w:rPr>
          <w:rFonts w:ascii="Calibri" w:hAnsi="Calibri"/>
          <w:color w:val="525866"/>
          <w:sz w:val="22"/>
        </w:rPr>
        <w:t xml:space="preserve">. Estimate revisions have tracked that confidence — the 2Q26 EPS consensus moved from $0.49 (post-Q1 baseline) to $0.51 currently — but the revenue consensus moved up more aggressively (from $3.76B to $3.90B), creating a higher bar on the top line. The stock has rallied ~15% since last earnings, outperforming both XTN and the S&amp;P 500, suggesting the market has already priced in a solid quarter; any miss on revenue or margin would be punished. The single biggest wildcard is </w:t>
      </w:r>
      <w:r>
        <w:rPr>
          <w:rFonts w:ascii="Calibri" w:hAnsi="Calibri"/>
          <w:b/>
          <w:color w:val="525866"/>
          <w:sz w:val="22"/>
        </w:rPr>
        <w:t>fuel price dynamics</w:t>
      </w:r>
      <w:r>
        <w:rPr>
          <w:rFonts w:ascii="Calibri" w:hAnsi="Calibri"/>
          <w:color w:val="525866"/>
          <w:sz w:val="22"/>
        </w:rPr>
        <w:t>: management flagged that higher diesel adds ~100 bps to the operating ratio, and while fuel surcharge revenue provides an offset, the net margin impact depends on the timing lag — a risk that peers UNP and NSC also flagged explicitly for Q2.</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moderately high bar</w:t>
      </w:r>
      <w:r>
        <w:rPr>
          <w:rFonts w:ascii="Calibri" w:hAnsi="Calibri"/>
          <w:color w:val="525866"/>
          <w:sz w:val="22"/>
        </w:rPr>
        <w:t xml:space="preserve"> on revenue (+9% YoY implied) but more achievable on EPS given the cost-savings momentum; </w:t>
      </w:r>
      <w:r>
        <w:rPr>
          <w:rFonts w:ascii="Calibri" w:hAnsi="Calibri"/>
          <w:b/>
          <w:color w:val="525866"/>
          <w:sz w:val="22"/>
        </w:rPr>
        <w:t>operating ratio</w:t>
      </w:r>
      <w:r>
        <w:rPr>
          <w:rFonts w:ascii="Calibri" w:hAnsi="Calibri"/>
          <w:color w:val="525866"/>
          <w:sz w:val="22"/>
        </w:rPr>
        <w:t xml:space="preserve"> is the bigger swing factor — fuel headwinds and one-time Q2 expenses (incentive comp, loco overhauls) could pressure the margin even if volume delivers.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$3.482B</w:t>
            </w:r>
          </w:p>
        </w:tc>
        <w:tc>
          <w:tcPr>
            <w:tcW w:type="dxa" w:w="1234"/>
          </w:tcPr>
          <w:p>
            <w:r>
              <w:rPr>
                <w:rFonts w:ascii="Calibri" w:hAnsi="Calibri"/>
                <w:sz w:val="22"/>
              </w:rPr>
              <w:t>$3.574B</w:t>
            </w:r>
          </w:p>
        </w:tc>
        <w:tc>
          <w:tcPr>
            <w:tcW w:type="dxa" w:w="1234"/>
          </w:tcPr>
          <w:p>
            <w:r>
              <w:rPr>
                <w:rFonts w:ascii="Calibri" w:hAnsi="Calibri"/>
                <w:sz w:val="22"/>
              </w:rPr>
              <w:t>$3.895B</w:t>
            </w:r>
          </w:p>
        </w:tc>
        <w:tc>
          <w:tcPr>
            <w:tcW w:type="dxa" w:w="1234"/>
          </w:tcPr>
          <w:p>
            <w:r>
              <w:rPr>
                <w:rFonts w:ascii="Calibri" w:hAnsi="Calibri"/>
                <w:b/>
                <w:color w:val="30A46C"/>
                <w:sz w:val="22"/>
              </w:rPr>
              <w:t>+9.0%</w:t>
            </w:r>
          </w:p>
        </w:tc>
        <w:tc>
          <w:tcPr>
            <w:tcW w:type="dxa" w:w="1234"/>
          </w:tcPr>
          <w:p>
            <w:r>
              <w:rPr>
                <w:rFonts w:ascii="Calibri" w:hAnsi="Calibri"/>
                <w:sz w:val="22"/>
              </w:rPr>
              <w:t>FY mid-single digit growth (fuel-driven lift from Q2)</w:t>
            </w:r>
          </w:p>
        </w:tc>
        <w:tc>
          <w:tcPr>
            <w:tcW w:type="dxa" w:w="1234"/>
          </w:tcPr>
          <w:p>
            <w:r>
              <w:rPr>
                <w:rFonts w:ascii="Calibri" w:hAnsi="Calibri"/>
                <w:sz w:val="22"/>
              </w:rPr>
              <w:t>Above implied run-rate</w:t>
            </w:r>
          </w:p>
        </w:tc>
      </w:tr>
      <w:tr>
        <w:tc>
          <w:tcPr>
            <w:tcW w:type="dxa" w:w="1234"/>
          </w:tcPr>
          <w:p>
            <w:r>
              <w:rPr>
                <w:rFonts w:ascii="Calibri" w:hAnsi="Calibri"/>
                <w:sz w:val="22"/>
              </w:rPr>
              <w:t>EPS — Diluted Operating ($)</w:t>
            </w:r>
          </w:p>
        </w:tc>
        <w:tc>
          <w:tcPr>
            <w:tcW w:type="dxa" w:w="1234"/>
          </w:tcPr>
          <w:p>
            <w:r>
              <w:rPr>
                <w:rFonts w:ascii="Calibri" w:hAnsi="Calibri"/>
                <w:sz w:val="22"/>
              </w:rPr>
              <w:t>$0.433</w:t>
            </w:r>
          </w:p>
        </w:tc>
        <w:tc>
          <w:tcPr>
            <w:tcW w:type="dxa" w:w="1234"/>
          </w:tcPr>
          <w:p>
            <w:r>
              <w:rPr>
                <w:rFonts w:ascii="Calibri" w:hAnsi="Calibri"/>
                <w:sz w:val="22"/>
              </w:rPr>
              <w:t>$0.444</w:t>
            </w:r>
          </w:p>
        </w:tc>
        <w:tc>
          <w:tcPr>
            <w:tcW w:type="dxa" w:w="1234"/>
          </w:tcPr>
          <w:p>
            <w:r>
              <w:rPr>
                <w:rFonts w:ascii="Calibri" w:hAnsi="Calibri"/>
                <w:sz w:val="22"/>
              </w:rPr>
              <w:t>$0.513</w:t>
            </w:r>
          </w:p>
        </w:tc>
        <w:tc>
          <w:tcPr>
            <w:tcW w:type="dxa" w:w="1234"/>
          </w:tcPr>
          <w:p>
            <w:r>
              <w:rPr>
                <w:rFonts w:ascii="Calibri" w:hAnsi="Calibri"/>
                <w:b/>
                <w:color w:val="30A46C"/>
                <w:sz w:val="22"/>
              </w:rPr>
              <w:t>+15.5%</w:t>
            </w:r>
          </w:p>
        </w:tc>
        <w:tc>
          <w:tcPr>
            <w:tcW w:type="dxa" w:w="1234"/>
          </w:tcPr>
          <w:p>
            <w:r>
              <w:rPr>
                <w:rFonts w:ascii="Calibri" w:hAnsi="Calibri"/>
                <w:sz w:val="22"/>
              </w:rPr>
              <w:t>No explicit Q2 EPS guide; FY guided toward high end of margin expansion range</w:t>
            </w:r>
          </w:p>
        </w:tc>
        <w:tc>
          <w:tcPr>
            <w:tcW w:type="dxa" w:w="1234"/>
          </w:tcPr>
          <w:p>
            <w:r>
              <w:rPr>
                <w:rFonts w:ascii="Calibri" w:hAnsi="Calibri"/>
                <w:sz w:val="22"/>
              </w:rPr>
              <w:t>N/A (no Q2 EPS guide)</w:t>
            </w:r>
          </w:p>
        </w:tc>
      </w:tr>
      <w:tr>
        <w:tc>
          <w:tcPr>
            <w:tcW w:type="dxa" w:w="1234"/>
          </w:tcPr>
          <w:p>
            <w:r>
              <w:rPr>
                <w:rFonts w:ascii="Calibri" w:hAnsi="Calibri"/>
                <w:sz w:val="22"/>
              </w:rPr>
              <w:t>Operating Ratio — Operating (%)</w:t>
            </w:r>
          </w:p>
        </w:tc>
        <w:tc>
          <w:tcPr>
            <w:tcW w:type="dxa" w:w="1234"/>
          </w:tcPr>
          <w:p>
            <w:r>
              <w:rPr>
                <w:rFonts w:ascii="Calibri" w:hAnsi="Calibri"/>
                <w:sz w:val="22"/>
              </w:rPr>
              <w:t>64.0%</w:t>
            </w:r>
          </w:p>
        </w:tc>
        <w:tc>
          <w:tcPr>
            <w:tcW w:type="dxa" w:w="1234"/>
          </w:tcPr>
          <w:p>
            <w:r>
              <w:rPr>
                <w:rFonts w:ascii="Calibri" w:hAnsi="Calibri"/>
                <w:sz w:val="22"/>
              </w:rPr>
              <w:t>64.1%</w:t>
            </w:r>
          </w:p>
        </w:tc>
        <w:tc>
          <w:tcPr>
            <w:tcW w:type="dxa" w:w="1234"/>
          </w:tcPr>
          <w:p>
            <w:r>
              <w:rPr>
                <w:rFonts w:ascii="Calibri" w:hAnsi="Calibri"/>
                <w:sz w:val="22"/>
              </w:rPr>
              <w:t>62.9%</w:t>
            </w:r>
          </w:p>
        </w:tc>
        <w:tc>
          <w:tcPr>
            <w:tcW w:type="dxa" w:w="1234"/>
          </w:tcPr>
          <w:p>
            <w:r>
              <w:rPr>
                <w:rFonts w:ascii="Calibri" w:hAnsi="Calibri"/>
                <w:b/>
                <w:color w:val="30A46C"/>
                <w:sz w:val="22"/>
              </w:rPr>
              <w:t>-120 bps</w:t>
            </w:r>
          </w:p>
        </w:tc>
        <w:tc>
          <w:tcPr>
            <w:tcW w:type="dxa" w:w="1234"/>
          </w:tcPr>
          <w:p>
            <w:r>
              <w:rPr>
                <w:rFonts w:ascii="Calibri" w:hAnsi="Calibri"/>
                <w:sz w:val="22"/>
              </w:rPr>
              <w:t>FY OR expansion toward high end of 200–300 bps range; fuel adds ~100 bps headwind</w:t>
            </w:r>
          </w:p>
        </w:tc>
        <w:tc>
          <w:tcPr>
            <w:tcW w:type="dxa" w:w="1234"/>
          </w:tcPr>
          <w:p>
            <w:r>
              <w:rPr>
                <w:rFonts w:ascii="Calibri" w:hAnsi="Calibri"/>
                <w:sz w:val="22"/>
              </w:rPr>
              <w:t>Consensus implies improvement; fuel risk to downside</w:t>
            </w:r>
          </w:p>
        </w:tc>
      </w:tr>
      <w:tr>
        <w:tc>
          <w:tcPr>
            <w:tcW w:type="dxa" w:w="1234"/>
          </w:tcPr>
          <w:p>
            <w:r>
              <w:rPr>
                <w:rFonts w:ascii="Calibri" w:hAnsi="Calibri"/>
                <w:sz w:val="22"/>
              </w:rPr>
              <w:t>Operating Income — Operating ($B)</w:t>
            </w:r>
          </w:p>
        </w:tc>
        <w:tc>
          <w:tcPr>
            <w:tcW w:type="dxa" w:w="1234"/>
          </w:tcPr>
          <w:p>
            <w:r>
              <w:rPr>
                <w:rFonts w:ascii="Calibri" w:hAnsi="Calibri"/>
                <w:sz w:val="22"/>
              </w:rPr>
              <w:t>$1.253B</w:t>
            </w:r>
          </w:p>
        </w:tc>
        <w:tc>
          <w:tcPr>
            <w:tcW w:type="dxa" w:w="1234"/>
          </w:tcPr>
          <w:p>
            <w:r>
              <w:rPr>
                <w:rFonts w:ascii="Calibri" w:hAnsi="Calibri"/>
                <w:sz w:val="22"/>
              </w:rPr>
              <w:t>$1.283B</w:t>
            </w:r>
          </w:p>
        </w:tc>
        <w:tc>
          <w:tcPr>
            <w:tcW w:type="dxa" w:w="1234"/>
          </w:tcPr>
          <w:p>
            <w:r>
              <w:rPr>
                <w:rFonts w:ascii="Calibri" w:hAnsi="Calibri"/>
                <w:sz w:val="22"/>
              </w:rPr>
              <w:t>$1.442B</w:t>
            </w:r>
          </w:p>
        </w:tc>
        <w:tc>
          <w:tcPr>
            <w:tcW w:type="dxa" w:w="1234"/>
          </w:tcPr>
          <w:p>
            <w:r>
              <w:rPr>
                <w:rFonts w:ascii="Calibri" w:hAnsi="Calibri"/>
                <w:b/>
                <w:color w:val="30A46C"/>
                <w:sz w:val="22"/>
              </w:rPr>
              <w:t>+12.4%</w:t>
            </w:r>
          </w:p>
        </w:tc>
        <w:tc>
          <w:tcPr>
            <w:tcW w:type="dxa" w:w="1234"/>
          </w:tcPr>
          <w:p>
            <w:r>
              <w:rPr>
                <w:rFonts w:ascii="Calibri" w:hAnsi="Calibri"/>
                <w:sz w:val="22"/>
              </w:rPr>
              <w:t>Implied by revenue + margin guidance</w:t>
            </w:r>
          </w:p>
        </w:tc>
        <w:tc>
          <w:tcPr>
            <w:tcW w:type="dxa" w:w="1234"/>
          </w:tcPr>
          <w:p>
            <w:r>
              <w:rPr>
                <w:rFonts w:ascii="Calibri" w:hAnsi="Calibri"/>
                <w:sz w:val="22"/>
              </w:rPr>
              <w:t>Tracking above Q1 run-rate</w:t>
            </w:r>
          </w:p>
        </w:tc>
      </w:tr>
      <w:tr>
        <w:tc>
          <w:tcPr>
            <w:tcW w:type="dxa" w:w="1234"/>
          </w:tcPr>
          <w:p>
            <w:r>
              <w:rPr>
                <w:rFonts w:ascii="Calibri" w:hAnsi="Calibri"/>
                <w:sz w:val="22"/>
              </w:rPr>
              <w:t>Total Carloads (K)</w:t>
            </w:r>
          </w:p>
        </w:tc>
        <w:tc>
          <w:tcPr>
            <w:tcW w:type="dxa" w:w="1234"/>
          </w:tcPr>
          <w:p>
            <w:r>
              <w:rPr>
                <w:rFonts w:ascii="Calibri" w:hAnsi="Calibri"/>
                <w:sz w:val="22"/>
              </w:rPr>
              <w:t>1,559K</w:t>
            </w:r>
          </w:p>
        </w:tc>
        <w:tc>
          <w:tcPr>
            <w:tcW w:type="dxa" w:w="1234"/>
          </w:tcPr>
          <w:p>
            <w:r>
              <w:rPr>
                <w:rFonts w:ascii="Calibri" w:hAnsi="Calibri"/>
                <w:sz w:val="22"/>
              </w:rPr>
              <w:t>1,580K</w:t>
            </w:r>
          </w:p>
        </w:tc>
        <w:tc>
          <w:tcPr>
            <w:tcW w:type="dxa" w:w="1234"/>
          </w:tcPr>
          <w:p>
            <w:r>
              <w:rPr>
                <w:rFonts w:ascii="Calibri" w:hAnsi="Calibri"/>
                <w:sz w:val="22"/>
              </w:rPr>
              <w:t>1,670K</w:t>
            </w:r>
          </w:p>
        </w:tc>
        <w:tc>
          <w:tcPr>
            <w:tcW w:type="dxa" w:w="1234"/>
          </w:tcPr>
          <w:p>
            <w:r>
              <w:rPr>
                <w:rFonts w:ascii="Calibri" w:hAnsi="Calibri"/>
                <w:b/>
                <w:color w:val="30A46C"/>
                <w:sz w:val="22"/>
              </w:rPr>
              <w:t>+5.7%</w:t>
            </w:r>
          </w:p>
        </w:tc>
        <w:tc>
          <w:tcPr>
            <w:tcW w:type="dxa" w:w="1234"/>
          </w:tcPr>
          <w:p>
            <w:r>
              <w:rPr>
                <w:rFonts w:ascii="Calibri" w:hAnsi="Calibri"/>
                <w:sz w:val="22"/>
              </w:rPr>
              <w:t>Q2 volume trends running well ahead of full-year targets (per Q1 call)</w:t>
            </w:r>
          </w:p>
        </w:tc>
        <w:tc>
          <w:tcPr>
            <w:tcW w:type="dxa" w:w="1234"/>
          </w:tcPr>
          <w:p>
            <w:r>
              <w:rPr>
                <w:rFonts w:ascii="Calibri" w:hAnsi="Calibri"/>
                <w:sz w:val="22"/>
              </w:rPr>
              <w:t>Consensus above Q1 actual; mgmt commentary supportive</w:t>
            </w:r>
          </w:p>
        </w:tc>
      </w:tr>
      <w:tr>
        <w:tc>
          <w:tcPr>
            <w:tcW w:type="dxa" w:w="1234"/>
          </w:tcPr>
          <w:p>
            <w:r>
              <w:rPr>
                <w:rFonts w:ascii="Calibri" w:hAnsi="Calibri"/>
                <w:sz w:val="22"/>
              </w:rPr>
              <w:t>Free Cash Flow — Company Defined ($B)</w:t>
            </w:r>
          </w:p>
        </w:tc>
        <w:tc>
          <w:tcPr>
            <w:tcW w:type="dxa" w:w="1234"/>
          </w:tcPr>
          <w:p>
            <w:r>
              <w:rPr>
                <w:rFonts w:ascii="Calibri" w:hAnsi="Calibri"/>
                <w:sz w:val="22"/>
              </w:rPr>
              <w:t>$0.793B</w:t>
            </w:r>
          </w:p>
        </w:tc>
        <w:tc>
          <w:tcPr>
            <w:tcW w:type="dxa" w:w="1234"/>
          </w:tcPr>
          <w:p>
            <w:r>
              <w:rPr>
                <w:rFonts w:ascii="Calibri" w:hAnsi="Calibri"/>
                <w:sz w:val="22"/>
              </w:rPr>
              <w:t>-$0.115B</w:t>
            </w:r>
          </w:p>
        </w:tc>
        <w:tc>
          <w:tcPr>
            <w:tcW w:type="dxa" w:w="1234"/>
          </w:tcPr>
          <w:p>
            <w:r>
              <w:rPr>
                <w:rFonts w:ascii="Calibri" w:hAnsi="Calibri"/>
                <w:sz w:val="22"/>
              </w:rPr>
              <w:t>$0.774B</w:t>
            </w:r>
          </w:p>
        </w:tc>
        <w:tc>
          <w:tcPr>
            <w:tcW w:type="dxa" w:w="1234"/>
          </w:tcPr>
          <w:p>
            <w:r>
              <w:rPr>
                <w:rFonts w:ascii="Calibri" w:hAnsi="Calibri"/>
                <w:b/>
                <w:color w:val="30A46C"/>
                <w:sz w:val="22"/>
              </w:rPr>
              <w:t>N/M (prior year negative)</w:t>
            </w:r>
          </w:p>
        </w:tc>
        <w:tc>
          <w:tcPr>
            <w:tcW w:type="dxa" w:w="1234"/>
          </w:tcPr>
          <w:p>
            <w:r>
              <w:rPr>
                <w:rFonts w:ascii="Calibri" w:hAnsi="Calibri"/>
                <w:sz w:val="22"/>
              </w:rPr>
              <w:t>FY FCF &gt;60% growth vs. 2025</w:t>
            </w:r>
          </w:p>
        </w:tc>
        <w:tc>
          <w:tcPr>
            <w:tcW w:type="dxa" w:w="1234"/>
          </w:tcPr>
          <w:p>
            <w:r>
              <w:rPr>
                <w:rFonts w:ascii="Calibri" w:hAnsi="Calibri"/>
                <w:sz w:val="22"/>
              </w:rPr>
              <w:t>Tracking toward guidance</w:t>
            </w:r>
          </w:p>
        </w:tc>
      </w:tr>
    </w:tbl>
    <w:p>
      <w:r>
        <w:rPr>
          <w:rFonts w:ascii="Calibri" w:hAnsi="Calibri"/>
          <w:i/>
          <w:color w:val="525866"/>
          <w:sz w:val="22"/>
        </w:rPr>
        <w:t>Source: Visible Alpha Consensus and Actuals Data. All consensus figures as of July 21, 2026. Q1 2026 actuals and Q2 2025 actuals from Visible Alpha reported figures.</w:t>
      </w:r>
    </w:p>
    <w:p>
      <w:pPr>
        <w:pStyle w:val="Heading3"/>
      </w:pPr>
      <w:r>
        <w:rPr>
          <w:rFonts w:ascii="Calibri" w:hAnsi="Calibri"/>
          <w:b/>
          <w:color w:val="3B4259"/>
          <w:sz w:val="24"/>
        </w:rPr>
        <w:t>Table 2 — Beat/Miss History (Last 8 Quarters, Top 2 KPIs: EPS-Diluted Operating &amp;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EPS-Diluted Op.</w:t>
            </w:r>
          </w:p>
        </w:tc>
        <w:tc>
          <w:tcPr>
            <w:tcW w:type="dxa" w:w="1440"/>
          </w:tcPr>
          <w:p>
            <w:r>
              <w:rPr>
                <w:rFonts w:ascii="Calibri" w:hAnsi="Calibri"/>
                <w:sz w:val="22"/>
              </w:rPr>
              <w:t>$0.433</w:t>
            </w:r>
          </w:p>
        </w:tc>
        <w:tc>
          <w:tcPr>
            <w:tcW w:type="dxa" w:w="1440"/>
          </w:tcPr>
          <w:p>
            <w:r>
              <w:rPr>
                <w:rFonts w:ascii="Calibri" w:hAnsi="Calibri"/>
                <w:sz w:val="22"/>
              </w:rPr>
              <w:t>$0.391</w:t>
            </w:r>
          </w:p>
        </w:tc>
        <w:tc>
          <w:tcPr>
            <w:tcW w:type="dxa" w:w="1440"/>
          </w:tcPr>
          <w:p>
            <w:r>
              <w:rPr>
                <w:rFonts w:ascii="Calibri" w:hAnsi="Calibri"/>
                <w:b/>
                <w:color w:val="30A46C"/>
                <w:sz w:val="22"/>
              </w:rPr>
              <w:t>+10.7%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$3.482B</w:t>
            </w:r>
          </w:p>
        </w:tc>
        <w:tc>
          <w:tcPr>
            <w:tcW w:type="dxa" w:w="1440"/>
          </w:tcPr>
          <w:p>
            <w:r>
              <w:rPr>
                <w:rFonts w:ascii="Calibri" w:hAnsi="Calibri"/>
                <w:sz w:val="22"/>
              </w:rPr>
              <w:t>$3.495B</w:t>
            </w:r>
          </w:p>
        </w:tc>
        <w:tc>
          <w:tcPr>
            <w:tcW w:type="dxa" w:w="1440"/>
          </w:tcPr>
          <w:p>
            <w:r>
              <w:rPr>
                <w:rFonts w:ascii="Calibri" w:hAnsi="Calibri"/>
                <w:b/>
                <w:color w:val="E5484D"/>
                <w:sz w:val="22"/>
              </w:rPr>
              <w:t>-0.4%</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EPS-Diluted Op.</w:t>
            </w:r>
          </w:p>
        </w:tc>
        <w:tc>
          <w:tcPr>
            <w:tcW w:type="dxa" w:w="1440"/>
          </w:tcPr>
          <w:p>
            <w:r>
              <w:rPr>
                <w:rFonts w:ascii="Calibri" w:hAnsi="Calibri"/>
                <w:sz w:val="22"/>
              </w:rPr>
              <w:t>$0.390</w:t>
            </w:r>
          </w:p>
        </w:tc>
        <w:tc>
          <w:tcPr>
            <w:tcW w:type="dxa" w:w="1440"/>
          </w:tcPr>
          <w:p>
            <w:r>
              <w:rPr>
                <w:rFonts w:ascii="Calibri" w:hAnsi="Calibri"/>
                <w:sz w:val="22"/>
              </w:rPr>
              <w:t>$0.411</w:t>
            </w:r>
          </w:p>
        </w:tc>
        <w:tc>
          <w:tcPr>
            <w:tcW w:type="dxa" w:w="1440"/>
          </w:tcPr>
          <w:p>
            <w:r>
              <w:rPr>
                <w:rFonts w:ascii="Calibri" w:hAnsi="Calibri"/>
                <w:b/>
                <w:color w:val="E5484D"/>
                <w:sz w:val="22"/>
              </w:rPr>
              <w:t>-5.1%</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$3.508B</w:t>
            </w:r>
          </w:p>
        </w:tc>
        <w:tc>
          <w:tcPr>
            <w:tcW w:type="dxa" w:w="1440"/>
          </w:tcPr>
          <w:p>
            <w:r>
              <w:rPr>
                <w:rFonts w:ascii="Calibri" w:hAnsi="Calibri"/>
                <w:sz w:val="22"/>
              </w:rPr>
              <w:t>$3.539B</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EPS-Diluted Op.</w:t>
            </w:r>
          </w:p>
        </w:tc>
        <w:tc>
          <w:tcPr>
            <w:tcW w:type="dxa" w:w="1440"/>
          </w:tcPr>
          <w:p>
            <w:r>
              <w:rPr>
                <w:rFonts w:ascii="Calibri" w:hAnsi="Calibri"/>
                <w:sz w:val="22"/>
              </w:rPr>
              <w:t>$0.438</w:t>
            </w:r>
          </w:p>
        </w:tc>
        <w:tc>
          <w:tcPr>
            <w:tcW w:type="dxa" w:w="1440"/>
          </w:tcPr>
          <w:p>
            <w:r>
              <w:rPr>
                <w:rFonts w:ascii="Calibri" w:hAnsi="Calibri"/>
                <w:sz w:val="22"/>
              </w:rPr>
              <w:t>$0.424</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$3.587B</w:t>
            </w:r>
          </w:p>
        </w:tc>
        <w:tc>
          <w:tcPr>
            <w:tcW w:type="dxa" w:w="1440"/>
          </w:tcPr>
          <w:p>
            <w:r>
              <w:rPr>
                <w:rFonts w:ascii="Calibri" w:hAnsi="Calibri"/>
                <w:sz w:val="22"/>
              </w:rPr>
              <w:t>$3.573B</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EPS-Diluted Op.</w:t>
            </w:r>
          </w:p>
        </w:tc>
        <w:tc>
          <w:tcPr>
            <w:tcW w:type="dxa" w:w="1440"/>
          </w:tcPr>
          <w:p>
            <w:r>
              <w:rPr>
                <w:rFonts w:ascii="Calibri" w:hAnsi="Calibri"/>
                <w:sz w:val="22"/>
              </w:rPr>
              <w:t>$0.444</w:t>
            </w:r>
          </w:p>
        </w:tc>
        <w:tc>
          <w:tcPr>
            <w:tcW w:type="dxa" w:w="1440"/>
          </w:tcPr>
          <w:p>
            <w:r>
              <w:rPr>
                <w:rFonts w:ascii="Calibri" w:hAnsi="Calibri"/>
                <w:sz w:val="22"/>
              </w:rPr>
              <w:t>$0.416</w:t>
            </w:r>
          </w:p>
        </w:tc>
        <w:tc>
          <w:tcPr>
            <w:tcW w:type="dxa" w:w="1440"/>
          </w:tcPr>
          <w:p>
            <w:r>
              <w:rPr>
                <w:rFonts w:ascii="Calibri" w:hAnsi="Calibri"/>
                <w:b/>
                <w:color w:val="30A46C"/>
                <w:sz w:val="22"/>
              </w:rPr>
              <w:t>+6.7%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$3.574B</w:t>
            </w:r>
          </w:p>
        </w:tc>
        <w:tc>
          <w:tcPr>
            <w:tcW w:type="dxa" w:w="1440"/>
          </w:tcPr>
          <w:p>
            <w:r>
              <w:rPr>
                <w:rFonts w:ascii="Calibri" w:hAnsi="Calibri"/>
                <w:sz w:val="22"/>
              </w:rPr>
              <w:t>$3.570B</w:t>
            </w:r>
          </w:p>
        </w:tc>
        <w:tc>
          <w:tcPr>
            <w:tcW w:type="dxa" w:w="1440"/>
          </w:tcPr>
          <w:p>
            <w:r>
              <w:rPr>
                <w:rFonts w:ascii="Calibri" w:hAnsi="Calibri"/>
                <w:b/>
                <w:color w:val="30A46C"/>
                <w:sz w:val="22"/>
              </w:rPr>
              <w:t>+0.1%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EPS-Diluted Op.</w:t>
            </w:r>
          </w:p>
        </w:tc>
        <w:tc>
          <w:tcPr>
            <w:tcW w:type="dxa" w:w="1440"/>
          </w:tcPr>
          <w:p>
            <w:r>
              <w:rPr>
                <w:rFonts w:ascii="Calibri" w:hAnsi="Calibri"/>
                <w:sz w:val="22"/>
              </w:rPr>
              <w:t>$0.342</w:t>
            </w:r>
          </w:p>
        </w:tc>
        <w:tc>
          <w:tcPr>
            <w:tcW w:type="dxa" w:w="1440"/>
          </w:tcPr>
          <w:p>
            <w:r>
              <w:rPr>
                <w:rFonts w:ascii="Calibri" w:hAnsi="Calibri"/>
                <w:sz w:val="22"/>
              </w:rPr>
              <w:t>$0.368</w:t>
            </w:r>
          </w:p>
        </w:tc>
        <w:tc>
          <w:tcPr>
            <w:tcW w:type="dxa" w:w="1440"/>
          </w:tcPr>
          <w:p>
            <w:r>
              <w:rPr>
                <w:rFonts w:ascii="Calibri" w:hAnsi="Calibri"/>
                <w:b/>
                <w:color w:val="E5484D"/>
                <w:sz w:val="22"/>
              </w:rPr>
              <w:t>-7.1%</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$3.423B</w:t>
            </w:r>
          </w:p>
        </w:tc>
        <w:tc>
          <w:tcPr>
            <w:tcW w:type="dxa" w:w="1440"/>
          </w:tcPr>
          <w:p>
            <w:r>
              <w:rPr>
                <w:rFonts w:ascii="Calibri" w:hAnsi="Calibri"/>
                <w:sz w:val="22"/>
              </w:rPr>
              <w:t>$3.460B</w:t>
            </w:r>
          </w:p>
        </w:tc>
        <w:tc>
          <w:tcPr>
            <w:tcW w:type="dxa" w:w="1440"/>
          </w:tcPr>
          <w:p>
            <w:r>
              <w:rPr>
                <w:rFonts w:ascii="Calibri" w:hAnsi="Calibri"/>
                <w:b/>
                <w:color w:val="E5484D"/>
                <w:sz w:val="22"/>
              </w:rPr>
              <w:t>-1.1%</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EPS-Diluted Op.</w:t>
            </w:r>
          </w:p>
        </w:tc>
        <w:tc>
          <w:tcPr>
            <w:tcW w:type="dxa" w:w="1440"/>
          </w:tcPr>
          <w:p>
            <w:r>
              <w:rPr>
                <w:rFonts w:ascii="Calibri" w:hAnsi="Calibri"/>
                <w:sz w:val="22"/>
              </w:rPr>
              <w:t>$0.420</w:t>
            </w:r>
          </w:p>
        </w:tc>
        <w:tc>
          <w:tcPr>
            <w:tcW w:type="dxa" w:w="1440"/>
          </w:tcPr>
          <w:p>
            <w:r>
              <w:rPr>
                <w:rFonts w:ascii="Calibri" w:hAnsi="Calibri"/>
                <w:sz w:val="22"/>
              </w:rPr>
              <w:t>$0.422</w:t>
            </w:r>
          </w:p>
        </w:tc>
        <w:tc>
          <w:tcPr>
            <w:tcW w:type="dxa" w:w="1440"/>
          </w:tcPr>
          <w:p>
            <w:r>
              <w:rPr>
                <w:rFonts w:ascii="Calibri" w:hAnsi="Calibri"/>
                <w:b/>
                <w:color w:val="E5484D"/>
                <w:sz w:val="22"/>
              </w:rPr>
              <w:t>-0.5%</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$3.539B</w:t>
            </w:r>
          </w:p>
        </w:tc>
        <w:tc>
          <w:tcPr>
            <w:tcW w:type="dxa" w:w="1440"/>
          </w:tcPr>
          <w:p>
            <w:r>
              <w:rPr>
                <w:rFonts w:ascii="Calibri" w:hAnsi="Calibri"/>
                <w:sz w:val="22"/>
              </w:rPr>
              <w:t>$3.570B</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EPS-Diluted Op.</w:t>
            </w:r>
          </w:p>
        </w:tc>
        <w:tc>
          <w:tcPr>
            <w:tcW w:type="dxa" w:w="1440"/>
          </w:tcPr>
          <w:p>
            <w:r>
              <w:rPr>
                <w:rFonts w:ascii="Calibri" w:hAnsi="Calibri"/>
                <w:sz w:val="22"/>
              </w:rPr>
              <w:t>$0.461</w:t>
            </w:r>
          </w:p>
        </w:tc>
        <w:tc>
          <w:tcPr>
            <w:tcW w:type="dxa" w:w="1440"/>
          </w:tcPr>
          <w:p>
            <w:r>
              <w:rPr>
                <w:rFonts w:ascii="Calibri" w:hAnsi="Calibri"/>
                <w:sz w:val="22"/>
              </w:rPr>
              <w:t>$0.477</w:t>
            </w:r>
          </w:p>
        </w:tc>
        <w:tc>
          <w:tcPr>
            <w:tcW w:type="dxa" w:w="1440"/>
          </w:tcPr>
          <w:p>
            <w:r>
              <w:rPr>
                <w:rFonts w:ascii="Calibri" w:hAnsi="Calibri"/>
                <w:b/>
                <w:color w:val="E5484D"/>
                <w:sz w:val="22"/>
              </w:rPr>
              <w:t>-3.4%</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$3.619B</w:t>
            </w:r>
          </w:p>
        </w:tc>
        <w:tc>
          <w:tcPr>
            <w:tcW w:type="dxa" w:w="1440"/>
          </w:tcPr>
          <w:p>
            <w:r>
              <w:rPr>
                <w:rFonts w:ascii="Calibri" w:hAnsi="Calibri"/>
                <w:sz w:val="22"/>
              </w:rPr>
              <w:t>$3.675B</w:t>
            </w:r>
          </w:p>
        </w:tc>
        <w:tc>
          <w:tcPr>
            <w:tcW w:type="dxa" w:w="1440"/>
          </w:tcPr>
          <w:p>
            <w:r>
              <w:rPr>
                <w:rFonts w:ascii="Calibri" w:hAnsi="Calibri"/>
                <w:b/>
                <w:color w:val="E5484D"/>
                <w:sz w:val="22"/>
              </w:rPr>
              <w:t>-1.5%</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EPS-Diluted Op.</w:t>
            </w:r>
          </w:p>
        </w:tc>
        <w:tc>
          <w:tcPr>
            <w:tcW w:type="dxa" w:w="1440"/>
          </w:tcPr>
          <w:p>
            <w:r>
              <w:rPr>
                <w:rFonts w:ascii="Calibri" w:hAnsi="Calibri"/>
                <w:sz w:val="22"/>
              </w:rPr>
              <w:t>$0.494</w:t>
            </w:r>
          </w:p>
        </w:tc>
        <w:tc>
          <w:tcPr>
            <w:tcW w:type="dxa" w:w="1440"/>
          </w:tcPr>
          <w:p>
            <w:r>
              <w:rPr>
                <w:rFonts w:ascii="Calibri" w:hAnsi="Calibri"/>
                <w:sz w:val="22"/>
              </w:rPr>
              <w:t>$0.477</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$3.701B</w:t>
            </w:r>
          </w:p>
        </w:tc>
        <w:tc>
          <w:tcPr>
            <w:tcW w:type="dxa" w:w="1440"/>
          </w:tcPr>
          <w:p>
            <w:r>
              <w:rPr>
                <w:rFonts w:ascii="Calibri" w:hAnsi="Calibri"/>
                <w:sz w:val="22"/>
              </w:rPr>
              <w:t>$3.706B</w:t>
            </w:r>
          </w:p>
        </w:tc>
        <w:tc>
          <w:tcPr>
            <w:tcW w:type="dxa" w:w="1440"/>
          </w:tcPr>
          <w:p>
            <w:r>
              <w:rPr>
                <w:rFonts w:ascii="Calibri" w:hAnsi="Calibri"/>
                <w:b/>
                <w:color w:val="E5484D"/>
                <w:sz w:val="22"/>
              </w:rPr>
              <w:t>-0.1%</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CSX has beaten EPS consensus in 4 of the last 8 quarters but missed revenue in 6 of 8 — the cost-savings story has driven EPS upside while top-line execution has been the persistent weak spot. Q1 2026's large EPS beat (+10.7%) was the strongest in the series, driven by cost savings rather than revenue, setting a high bar for the cost story to continue.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Management raised guidance on </w:t>
      </w:r>
      <w:r>
        <w:rPr>
          <w:rFonts w:ascii="Calibri" w:hAnsi="Calibri"/>
          <w:b/>
          <w:color w:val="525866"/>
          <w:sz w:val="22"/>
        </w:rPr>
        <w:t>three dimensions</w:t>
      </w:r>
      <w:r>
        <w:rPr>
          <w:rFonts w:ascii="Calibri" w:hAnsi="Calibri"/>
          <w:color w:val="525866"/>
          <w:sz w:val="22"/>
        </w:rPr>
        <w:t xml:space="preserve"> at Q1 2026 (revenue, margin, FCF) and tone has shifted from cautious to confident; no post-earnings guidance revision events have occurred, so the Q1 call remains the baseline — but the $5B buyback authorization in May signals management's conviction in the cash flow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Revenue Growth</w:t>
            </w:r>
          </w:p>
        </w:tc>
        <w:tc>
          <w:tcPr>
            <w:tcW w:type="dxa" w:w="1728"/>
          </w:tcPr>
          <w:p>
            <w:r>
              <w:rPr>
                <w:rFonts w:ascii="Calibri" w:hAnsi="Calibri"/>
                <w:sz w:val="22"/>
              </w:rPr>
              <w:t>Mid-single digits (raised from low-single digits; fuel-driven lift from Q2)</w:t>
            </w:r>
          </w:p>
        </w:tc>
        <w:tc>
          <w:tcPr>
            <w:tcW w:type="dxa" w:w="1728"/>
          </w:tcPr>
          <w:p>
            <w:r>
              <w:rPr>
                <w:rFonts w:ascii="Calibri" w:hAnsi="Calibri"/>
                <w:sz w:val="22"/>
              </w:rPr>
              <w:t>—</w:t>
            </w:r>
          </w:p>
        </w:tc>
        <w:tc>
          <w:tcPr>
            <w:tcW w:type="dxa" w:w="1728"/>
          </w:tcPr>
          <w:p>
            <w:r>
              <w:rPr>
                <w:rFonts w:ascii="Calibri" w:hAnsi="Calibri"/>
                <w:sz w:val="22"/>
              </w:rPr>
              <w:t>~+6% YoY implied by $15.01B FY consensus</w:t>
            </w:r>
          </w:p>
        </w:tc>
        <w:tc>
          <w:tcPr>
            <w:tcW w:type="dxa" w:w="1728"/>
          </w:tcPr>
          <w:p>
            <w:r>
              <w:rPr>
                <w:rFonts w:ascii="Calibri" w:hAnsi="Calibri"/>
                <w:sz w:val="22"/>
              </w:rPr>
              <w:t>↑ Raised at Q1 earnings; driven by higher diesel prices lifting fuel surcharge revenue from Q2 onward</w:t>
            </w:r>
          </w:p>
        </w:tc>
      </w:tr>
      <w:tr>
        <w:tc>
          <w:tcPr>
            <w:tcW w:type="dxa" w:w="1728"/>
          </w:tcPr>
          <w:p>
            <w:r>
              <w:rPr>
                <w:rFonts w:ascii="Calibri" w:hAnsi="Calibri"/>
                <w:sz w:val="22"/>
              </w:rPr>
              <w:t>Operating Margin Expansion (FY 2026 vs. FY 2025)</w:t>
            </w:r>
          </w:p>
        </w:tc>
        <w:tc>
          <w:tcPr>
            <w:tcW w:type="dxa" w:w="1728"/>
          </w:tcPr>
          <w:p>
            <w:r>
              <w:rPr>
                <w:rFonts w:ascii="Calibri" w:hAnsi="Calibri"/>
                <w:sz w:val="22"/>
              </w:rPr>
              <w:t>200–300 bps YoY, trending toward high end of range</w:t>
            </w:r>
          </w:p>
        </w:tc>
        <w:tc>
          <w:tcPr>
            <w:tcW w:type="dxa" w:w="1728"/>
          </w:tcPr>
          <w:p>
            <w:r>
              <w:rPr>
                <w:rFonts w:ascii="Calibri" w:hAnsi="Calibri"/>
                <w:sz w:val="22"/>
              </w:rPr>
              <w:t>—</w:t>
            </w:r>
          </w:p>
        </w:tc>
        <w:tc>
          <w:tcPr>
            <w:tcW w:type="dxa" w:w="1728"/>
          </w:tcPr>
          <w:p>
            <w:r>
              <w:rPr>
                <w:rFonts w:ascii="Calibri" w:hAnsi="Calibri"/>
                <w:sz w:val="22"/>
              </w:rPr>
              <w:t>~36.6% implied OR of 63.4% vs. 65.8% in FY 2025 (~240 bps improvement)</w:t>
            </w:r>
          </w:p>
        </w:tc>
        <w:tc>
          <w:tcPr>
            <w:tcW w:type="dxa" w:w="1728"/>
          </w:tcPr>
          <w:p>
            <w:r>
              <w:rPr>
                <w:rFonts w:ascii="Calibri" w:hAnsi="Calibri"/>
                <w:sz w:val="22"/>
              </w:rPr>
              <w:t>↑ Raised at Q1 earnings; mgmt noted fuel adds ~100 bps headwind to reported OR</w:t>
            </w:r>
          </w:p>
        </w:tc>
      </w:tr>
      <w:tr>
        <w:tc>
          <w:tcPr>
            <w:tcW w:type="dxa" w:w="1728"/>
          </w:tcPr>
          <w:p>
            <w:r>
              <w:rPr>
                <w:rFonts w:ascii="Calibri" w:hAnsi="Calibri"/>
                <w:sz w:val="22"/>
              </w:rPr>
              <w:t>Free Cash Flow Growth (FY 2026)</w:t>
            </w:r>
          </w:p>
        </w:tc>
        <w:tc>
          <w:tcPr>
            <w:tcW w:type="dxa" w:w="1728"/>
          </w:tcPr>
          <w:p>
            <w:r>
              <w:rPr>
                <w:rFonts w:ascii="Calibri" w:hAnsi="Calibri"/>
                <w:sz w:val="22"/>
              </w:rPr>
              <w:t>&gt;60% growth vs. FY 2025</w:t>
            </w:r>
          </w:p>
        </w:tc>
        <w:tc>
          <w:tcPr>
            <w:tcW w:type="dxa" w:w="1728"/>
          </w:tcPr>
          <w:p>
            <w:r>
              <w:rPr>
                <w:rFonts w:ascii="Calibri" w:hAnsi="Calibri"/>
                <w:sz w:val="22"/>
              </w:rPr>
              <w:t>—</w:t>
            </w:r>
          </w:p>
        </w:tc>
        <w:tc>
          <w:tcPr>
            <w:tcW w:type="dxa" w:w="1728"/>
          </w:tcPr>
          <w:p>
            <w:r>
              <w:rPr>
                <w:rFonts w:ascii="Calibri" w:hAnsi="Calibri"/>
                <w:sz w:val="22"/>
              </w:rPr>
              <w:t>$3.11B FY consensus</w:t>
            </w:r>
          </w:p>
        </w:tc>
        <w:tc>
          <w:tcPr>
            <w:tcW w:type="dxa" w:w="1728"/>
          </w:tcPr>
          <w:p>
            <w:r>
              <w:rPr>
                <w:rFonts w:ascii="Calibri" w:hAnsi="Calibri"/>
                <w:sz w:val="22"/>
              </w:rPr>
              <w:t>↑ Raised at Q1 earnings from prior “at least 50% growth” language</w:t>
            </w:r>
          </w:p>
        </w:tc>
      </w:tr>
      <w:tr>
        <w:tc>
          <w:tcPr>
            <w:tcW w:type="dxa" w:w="1728"/>
          </w:tcPr>
          <w:p>
            <w:r>
              <w:rPr>
                <w:rFonts w:ascii="Calibri" w:hAnsi="Calibri"/>
                <w:sz w:val="22"/>
              </w:rPr>
              <w:t>Capital Expenditures (FY 2026)</w:t>
            </w:r>
          </w:p>
        </w:tc>
        <w:tc>
          <w:tcPr>
            <w:tcW w:type="dxa" w:w="1728"/>
          </w:tcPr>
          <w:p>
            <w:r>
              <w:rPr>
                <w:rFonts w:ascii="Calibri" w:hAnsi="Calibri"/>
                <w:sz w:val="22"/>
              </w:rPr>
              <w:t>Below $2.4B</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Unchanged; engineering efficiencies expected to reduce capital spend</w:t>
            </w:r>
          </w:p>
        </w:tc>
      </w:tr>
      <w:tr>
        <w:tc>
          <w:tcPr>
            <w:tcW w:type="dxa" w:w="1728"/>
          </w:tcPr>
          <w:p>
            <w:r>
              <w:rPr>
                <w:rFonts w:ascii="Calibri" w:hAnsi="Calibri"/>
                <w:sz w:val="22"/>
              </w:rPr>
              <w:t>Share Repurchase Program</w:t>
            </w:r>
          </w:p>
        </w:tc>
        <w:tc>
          <w:tcPr>
            <w:tcW w:type="dxa" w:w="1728"/>
          </w:tcPr>
          <w:p>
            <w:r>
              <w:rPr>
                <w:rFonts w:ascii="Calibri" w:hAnsi="Calibri"/>
                <w:sz w:val="22"/>
              </w:rPr>
              <w:t>~$989M remaining under prior program (as of Mar 31, 2026)</w:t>
            </w:r>
          </w:p>
        </w:tc>
        <w:tc>
          <w:tcPr>
            <w:tcW w:type="dxa" w:w="1728"/>
          </w:tcPr>
          <w:p>
            <w:r>
              <w:rPr>
                <w:rFonts w:ascii="Calibri" w:hAnsi="Calibri"/>
                <w:sz w:val="22"/>
              </w:rPr>
              <w:t>$5B new authorization added May 12, 2026</w:t>
            </w:r>
          </w:p>
        </w:tc>
        <w:tc>
          <w:tcPr>
            <w:tcW w:type="dxa" w:w="1728"/>
          </w:tcPr>
          <w:p>
            <w:r>
              <w:rPr>
                <w:rFonts w:ascii="Calibri" w:hAnsi="Calibri"/>
                <w:sz w:val="22"/>
              </w:rPr>
              <w:t>N/A</w:t>
            </w:r>
          </w:p>
        </w:tc>
        <w:tc>
          <w:tcPr>
            <w:tcW w:type="dxa" w:w="1728"/>
          </w:tcPr>
          <w:p>
            <w:r>
              <w:rPr>
                <w:rFonts w:ascii="Calibri" w:hAnsi="Calibri"/>
                <w:sz w:val="22"/>
              </w:rPr>
              <w:t>↑ Significant capital return signal; Board authorized May 12, 2026 via 8-K</w:t>
            </w:r>
          </w:p>
        </w:tc>
      </w:tr>
      <w:tr>
        <w:tc>
          <w:tcPr>
            <w:tcW w:type="dxa" w:w="1728"/>
          </w:tcPr>
          <w:p>
            <w:r>
              <w:rPr>
                <w:rFonts w:ascii="Calibri" w:hAnsi="Calibri"/>
                <w:sz w:val="22"/>
              </w:rPr>
              <w:t>Q2 2026 Specific Expense Items</w:t>
            </w:r>
          </w:p>
        </w:tc>
        <w:tc>
          <w:tcPr>
            <w:tcW w:type="dxa" w:w="1728"/>
          </w:tcPr>
          <w:p>
            <w:r>
              <w:rPr>
                <w:rFonts w:ascii="Calibri" w:hAnsi="Calibri"/>
                <w:sz w:val="22"/>
              </w:rPr>
              <w:t>Flagged nonseasonal expenses: incentive comp, loco overhauls, M&amp;A advisory costs; fuel headwind vs. Q1 average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Mgmt explicitly guided for Q2 margin pressure from these items; $44M real estate gain from Q1 does not recur</w:t>
            </w:r>
          </w:p>
        </w:tc>
      </w:tr>
    </w:tbl>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r>
        <w:rPr>
          <w:rFonts w:ascii="Calibri" w:hAnsi="Calibri"/>
          <w:b/>
          <w:color w:val="525866"/>
          <w:sz w:val="22"/>
        </w:rPr>
        <w:t>meaningfully higher</w:t>
      </w:r>
      <w:r>
        <w:rPr>
          <w:rFonts w:ascii="Calibri" w:hAnsi="Calibri"/>
          <w:color w:val="525866"/>
          <w:sz w:val="22"/>
        </w:rPr>
        <w:t xml:space="preserve"> since the Q1 print — Q2 EPS consensus is up ~4% and Q2 revenue consensus is up ~3.5% from the post-Q1 baseline — tracking with management's raised guidance; the gap between current consensus and guidance is narrow, leaving limited room for upside surprise on the cost line but suggesting the revenue bar is the key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EPS-Diluted Op. (Q2 2026)</w:t>
            </w:r>
          </w:p>
        </w:tc>
        <w:tc>
          <w:tcPr>
            <w:tcW w:type="dxa" w:w="1080"/>
          </w:tcPr>
          <w:p>
            <w:r>
              <w:rPr>
                <w:rFonts w:ascii="Calibri" w:hAnsi="Calibri"/>
                <w:sz w:val="22"/>
              </w:rPr>
              <w:t>$0.493</w:t>
            </w:r>
          </w:p>
        </w:tc>
        <w:tc>
          <w:tcPr>
            <w:tcW w:type="dxa" w:w="1080"/>
          </w:tcPr>
          <w:p>
            <w:r>
              <w:rPr>
                <w:rFonts w:ascii="Calibri" w:hAnsi="Calibri"/>
                <w:sz w:val="22"/>
              </w:rPr>
              <w:t>$0.513</w:t>
            </w:r>
          </w:p>
        </w:tc>
        <w:tc>
          <w:tcPr>
            <w:tcW w:type="dxa" w:w="1080"/>
          </w:tcPr>
          <w:p>
            <w:r>
              <w:rPr>
                <w:rFonts w:ascii="Calibri" w:hAnsi="Calibri"/>
                <w:b/>
                <w:color w:val="30A46C"/>
                <w:sz w:val="22"/>
              </w:rPr>
              <w:t>+4.1%</w:t>
            </w:r>
          </w:p>
        </w:tc>
        <w:tc>
          <w:tcPr>
            <w:tcW w:type="dxa" w:w="1080"/>
          </w:tcPr>
          <w:p>
            <w:r>
              <w:rPr>
                <w:rFonts w:ascii="Calibri" w:hAnsi="Calibri"/>
                <w:sz w:val="22"/>
              </w:rPr>
              <w:t>No explicit Q2 guide</w:t>
            </w:r>
          </w:p>
        </w:tc>
        <w:tc>
          <w:tcPr>
            <w:tcW w:type="dxa" w:w="1080"/>
          </w:tcPr>
          <w:p>
            <w:r>
              <w:rPr>
                <w:rFonts w:ascii="Calibri" w:hAnsi="Calibri"/>
                <w:sz w:val="22"/>
              </w:rPr>
              <w:t>No explicit Q2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(Q2 2026)</w:t>
            </w:r>
          </w:p>
        </w:tc>
        <w:tc>
          <w:tcPr>
            <w:tcW w:type="dxa" w:w="1080"/>
          </w:tcPr>
          <w:p>
            <w:r>
              <w:rPr>
                <w:rFonts w:ascii="Calibri" w:hAnsi="Calibri"/>
                <w:sz w:val="22"/>
              </w:rPr>
              <w:t>$3.763B</w:t>
            </w:r>
          </w:p>
        </w:tc>
        <w:tc>
          <w:tcPr>
            <w:tcW w:type="dxa" w:w="1080"/>
          </w:tcPr>
          <w:p>
            <w:r>
              <w:rPr>
                <w:rFonts w:ascii="Calibri" w:hAnsi="Calibri"/>
                <w:sz w:val="22"/>
              </w:rPr>
              <w:t>$3.895B</w:t>
            </w:r>
          </w:p>
        </w:tc>
        <w:tc>
          <w:tcPr>
            <w:tcW w:type="dxa" w:w="1080"/>
          </w:tcPr>
          <w:p>
            <w:r>
              <w:rPr>
                <w:rFonts w:ascii="Calibri" w:hAnsi="Calibri"/>
                <w:b/>
                <w:color w:val="30A46C"/>
                <w:sz w:val="22"/>
              </w:rPr>
              <w:t>+3.5%</w:t>
            </w:r>
          </w:p>
        </w:tc>
        <w:tc>
          <w:tcPr>
            <w:tcW w:type="dxa" w:w="1080"/>
          </w:tcPr>
          <w:p>
            <w:r>
              <w:rPr>
                <w:rFonts w:ascii="Calibri" w:hAnsi="Calibri"/>
                <w:sz w:val="22"/>
              </w:rPr>
              <w:t>Mid-single digit FY growth; fuel lift from Q2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implied Q2 run-rate</w:t>
            </w:r>
          </w:p>
        </w:tc>
      </w:tr>
      <w:tr>
        <w:tc>
          <w:tcPr>
            <w:tcW w:type="dxa" w:w="1080"/>
          </w:tcPr>
          <w:p>
            <w:r>
              <w:rPr>
                <w:rFonts w:ascii="Calibri" w:hAnsi="Calibri"/>
                <w:sz w:val="22"/>
              </w:rPr>
              <w:t>Operating Ratio (Q2 2026)</w:t>
            </w:r>
          </w:p>
        </w:tc>
        <w:tc>
          <w:tcPr>
            <w:tcW w:type="dxa" w:w="1080"/>
          </w:tcPr>
          <w:p>
            <w:r>
              <w:rPr>
                <w:rFonts w:ascii="Calibri" w:hAnsi="Calibri"/>
                <w:sz w:val="22"/>
              </w:rPr>
              <w:t>62.98%</w:t>
            </w:r>
          </w:p>
        </w:tc>
        <w:tc>
          <w:tcPr>
            <w:tcW w:type="dxa" w:w="1080"/>
          </w:tcPr>
          <w:p>
            <w:r>
              <w:rPr>
                <w:rFonts w:ascii="Calibri" w:hAnsi="Calibri"/>
                <w:sz w:val="22"/>
              </w:rPr>
              <w:t>62.92%</w:t>
            </w:r>
          </w:p>
        </w:tc>
        <w:tc>
          <w:tcPr>
            <w:tcW w:type="dxa" w:w="1080"/>
          </w:tcPr>
          <w:p>
            <w:r>
              <w:rPr>
                <w:rFonts w:ascii="Calibri" w:hAnsi="Calibri"/>
                <w:b/>
                <w:color w:val="30A46C"/>
                <w:sz w:val="22"/>
              </w:rPr>
              <w:t>-6 bps</w:t>
            </w:r>
          </w:p>
        </w:tc>
        <w:tc>
          <w:tcPr>
            <w:tcW w:type="dxa" w:w="1080"/>
          </w:tcPr>
          <w:p>
            <w:r>
              <w:rPr>
                <w:rFonts w:ascii="Calibri" w:hAnsi="Calibri"/>
                <w:sz w:val="22"/>
              </w:rPr>
              <w:t>High end of 200–300 bps FY improvement; fuel adds ~100 bps headwind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~120 bps improvement vs. Q2 2025; fuel risk to downside</w:t>
            </w:r>
          </w:p>
        </w:tc>
      </w:tr>
      <w:tr>
        <w:tc>
          <w:tcPr>
            <w:tcW w:type="dxa" w:w="1080"/>
          </w:tcPr>
          <w:p>
            <w:r>
              <w:rPr>
                <w:rFonts w:ascii="Calibri" w:hAnsi="Calibri"/>
                <w:sz w:val="22"/>
              </w:rPr>
              <w:t>EPS-Diluted Op. (FY 2026)</w:t>
            </w:r>
          </w:p>
        </w:tc>
        <w:tc>
          <w:tcPr>
            <w:tcW w:type="dxa" w:w="1080"/>
          </w:tcPr>
          <w:p>
            <w:r>
              <w:rPr>
                <w:rFonts w:ascii="Calibri" w:hAnsi="Calibri"/>
                <w:sz w:val="22"/>
              </w:rPr>
              <w:t>$1.903</w:t>
            </w:r>
          </w:p>
        </w:tc>
        <w:tc>
          <w:tcPr>
            <w:tcW w:type="dxa" w:w="1080"/>
          </w:tcPr>
          <w:p>
            <w:r>
              <w:rPr>
                <w:rFonts w:ascii="Calibri" w:hAnsi="Calibri"/>
                <w:sz w:val="22"/>
              </w:rPr>
              <w:t>$1.949</w:t>
            </w:r>
          </w:p>
        </w:tc>
        <w:tc>
          <w:tcPr>
            <w:tcW w:type="dxa" w:w="1080"/>
          </w:tcPr>
          <w:p>
            <w:r>
              <w:rPr>
                <w:rFonts w:ascii="Calibri" w:hAnsi="Calibri"/>
                <w:b/>
                <w:color w:val="30A46C"/>
                <w:sz w:val="22"/>
              </w:rPr>
              <w:t>+2.4%</w:t>
            </w:r>
          </w:p>
        </w:tc>
        <w:tc>
          <w:tcPr>
            <w:tcW w:type="dxa" w:w="1080"/>
          </w:tcPr>
          <w:p>
            <w:r>
              <w:rPr>
                <w:rFonts w:ascii="Calibri" w:hAnsi="Calibri"/>
                <w:sz w:val="22"/>
              </w:rPr>
              <w:t>Implied by margin expansion toward high end of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with guidance</w:t>
            </w:r>
          </w:p>
        </w:tc>
      </w:tr>
      <w:tr>
        <w:tc>
          <w:tcPr>
            <w:tcW w:type="dxa" w:w="1080"/>
          </w:tcPr>
          <w:p>
            <w:r>
              <w:rPr>
                <w:rFonts w:ascii="Calibri" w:hAnsi="Calibri"/>
                <w:sz w:val="22"/>
              </w:rPr>
              <w:t>Revenue (FY 2026)</w:t>
            </w:r>
          </w:p>
        </w:tc>
        <w:tc>
          <w:tcPr>
            <w:tcW w:type="dxa" w:w="1080"/>
          </w:tcPr>
          <w:p>
            <w:r>
              <w:rPr>
                <w:rFonts w:ascii="Calibri" w:hAnsi="Calibri"/>
                <w:sz w:val="22"/>
              </w:rPr>
              <w:t>$14.750B</w:t>
            </w:r>
          </w:p>
        </w:tc>
        <w:tc>
          <w:tcPr>
            <w:tcW w:type="dxa" w:w="1080"/>
          </w:tcPr>
          <w:p>
            <w:r>
              <w:rPr>
                <w:rFonts w:ascii="Calibri" w:hAnsi="Calibri"/>
                <w:sz w:val="22"/>
              </w:rPr>
              <w:t>$15.013B</w:t>
            </w:r>
          </w:p>
        </w:tc>
        <w:tc>
          <w:tcPr>
            <w:tcW w:type="dxa" w:w="1080"/>
          </w:tcPr>
          <w:p>
            <w:r>
              <w:rPr>
                <w:rFonts w:ascii="Calibri" w:hAnsi="Calibri"/>
                <w:b/>
                <w:color w:val="30A46C"/>
                <w:sz w:val="22"/>
              </w:rPr>
              <w:t>+1.8%</w:t>
            </w:r>
          </w:p>
        </w:tc>
        <w:tc>
          <w:tcPr>
            <w:tcW w:type="dxa" w:w="1080"/>
          </w:tcPr>
          <w:p>
            <w:r>
              <w:rPr>
                <w:rFonts w:ascii="Calibri" w:hAnsi="Calibri"/>
                <w:sz w:val="22"/>
              </w:rPr>
              <w:t>Mid-single digit growth (raised from low-single digits)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 YoY; within mid-single digit guidance range</w:t>
            </w:r>
          </w:p>
        </w:tc>
      </w:tr>
      <w:tr>
        <w:tc>
          <w:tcPr>
            <w:tcW w:type="dxa" w:w="1080"/>
          </w:tcPr>
          <w:p>
            <w:r>
              <w:rPr>
                <w:rFonts w:ascii="Calibri" w:hAnsi="Calibri"/>
                <w:sz w:val="22"/>
              </w:rPr>
              <w:t>Operating Income (FY 2026)</w:t>
            </w:r>
          </w:p>
        </w:tc>
        <w:tc>
          <w:tcPr>
            <w:tcW w:type="dxa" w:w="1080"/>
          </w:tcPr>
          <w:p>
            <w:r>
              <w:rPr>
                <w:rFonts w:ascii="Calibri" w:hAnsi="Calibri"/>
                <w:sz w:val="22"/>
              </w:rPr>
              <w:t>$5.364B</w:t>
            </w:r>
          </w:p>
        </w:tc>
        <w:tc>
          <w:tcPr>
            <w:tcW w:type="dxa" w:w="1080"/>
          </w:tcPr>
          <w:p>
            <w:r>
              <w:rPr>
                <w:rFonts w:ascii="Calibri" w:hAnsi="Calibri"/>
                <w:sz w:val="22"/>
              </w:rPr>
              <w:t>$5.481B</w:t>
            </w:r>
          </w:p>
        </w:tc>
        <w:tc>
          <w:tcPr>
            <w:tcW w:type="dxa" w:w="1080"/>
          </w:tcPr>
          <w:p>
            <w:r>
              <w:rPr>
                <w:rFonts w:ascii="Calibri" w:hAnsi="Calibri"/>
                <w:b/>
                <w:color w:val="30A46C"/>
                <w:sz w:val="22"/>
              </w:rPr>
              <w:t>+2.2%</w:t>
            </w:r>
          </w:p>
        </w:tc>
        <w:tc>
          <w:tcPr>
            <w:tcW w:type="dxa" w:w="1080"/>
          </w:tcPr>
          <w:p>
            <w:r>
              <w:rPr>
                <w:rFonts w:ascii="Calibri" w:hAnsi="Calibri"/>
                <w:sz w:val="22"/>
              </w:rPr>
              <w:t>Implied by revenue + margin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with guidance</w:t>
            </w:r>
          </w:p>
        </w:tc>
      </w:tr>
    </w:tbl>
    <w:p>
      <w:r>
        <w:rPr>
          <w:rFonts w:ascii="Calibri" w:hAnsi="Calibri"/>
          <w:color w:val="525866"/>
          <w:sz w:val="22"/>
        </w:rPr>
        <w:t>Estimates have moved consistently higher across all KPIs since the Q1 print, with the Q2 revenue revision (+3.5%) outpacing the EPS revision (+4.1%) — suggesting the market is pricing in both volume acceleration and cost continuation. The key risk is that the Q2 revenue consensus ($3.90B) now implies a step-change from Q1's $3.48B, requiring fuel surcharge tailwinds and volume growth to both materialize simultaneously.</w:t>
      </w:r>
    </w:p>
    <w:p>
      <w:r>
        <w:rPr>
          <w:rFonts w:ascii="Calibri" w:hAnsi="Calibri"/>
          <w:i/>
          <w:color w:val="525866"/>
          <w:sz w:val="22"/>
        </w:rPr>
        <w:t>Source: Visible Alpha Consensus and Actuals Data. Post-Q1 baseline as of April 28, 2026 (approximately 5 trading days post-earnings).</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CSX has outperformed both the transport sector (XTN) and the S&amp;P 500 since Q1 earnings, with the rally driven by </w:t>
      </w:r>
      <w:r>
        <w:rPr>
          <w:rFonts w:ascii="Calibri" w:hAnsi="Calibri"/>
          <w:b/>
          <w:color w:val="525866"/>
          <w:sz w:val="22"/>
        </w:rPr>
        <w:t>multiple re-rating</w:t>
      </w:r>
      <w:r>
        <w:rPr>
          <w:rFonts w:ascii="Calibri" w:hAnsi="Calibri"/>
          <w:color w:val="525866"/>
          <w:sz w:val="22"/>
        </w:rPr>
        <w:t xml:space="preserve"> on the cost-savings thesis and the $5B buyback announcement — the stock is no longer cheap heading into Q2, meaning execution must confirm the narrative.</w:t>
      </w:r>
    </w:p>
    <w:p>
      <w:r>
        <w:rPr>
          <w:rFonts w:ascii="Calibri" w:hAnsi="Calibri"/>
          <w:color w:val="525866"/>
          <w:sz w:val="22"/>
        </w:rPr>
        <w:t xml:space="preserve">Since the Q1 2026 earnings date (April 22, 2026), CSX has rallied approximately </w:t>
      </w:r>
      <w:r>
        <w:rPr>
          <w:rFonts w:ascii="Calibri" w:hAnsi="Calibri"/>
          <w:b/>
          <w:color w:val="525866"/>
          <w:sz w:val="22"/>
        </w:rPr>
        <w:t>+15.5%</w:t>
      </w:r>
      <w:r>
        <w:rPr>
          <w:rFonts w:ascii="Calibri" w:hAnsi="Calibri"/>
          <w:color w:val="525866"/>
          <w:sz w:val="22"/>
        </w:rPr>
        <w:t xml:space="preserve"> (from $43.18 to $49.89 as of July 21, 2026), significantly outperforming XTN (Transport ETF, +6.2%) and the S&amp;P 500 (+5.2%) over the same period. The outperformance was driven by three catalysts: (1) the Q1 EPS beat and raised guidance on April 22, which drove an immediate +7% gap-up; (2) the $5B share buyback authorization announced May 14, which added another leg; and (3) the broader freight market tightening narrative (JBHT's record Q2 intermodal volumes reported July 15) that lifted the entire rail/transport complex into earnings. The stock's premium to XTN has widened, suggesting the market is pricing in CSX-specific execution rather than just sector beta. The sector ETF used is </w:t>
      </w:r>
      <w:r>
        <w:rPr>
          <w:rFonts w:ascii="Calibri" w:hAnsi="Calibri"/>
          <w:b/>
          <w:color w:val="525866"/>
          <w:sz w:val="22"/>
        </w:rPr>
        <w:t>XTN (SPDR S&amp;P Transportation ETF)</w:t>
      </w:r>
      <w:r>
        <w:rPr>
          <w:rFonts w:ascii="Calibri" w:hAnsi="Calibri"/>
          <w:color w:val="525866"/>
          <w:sz w:val="22"/>
        </w:rPr>
        <w:t>, which is appropriate for CSX's rail/freight sub-sector.</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CSX vs. XTN (Transport ETF) vs. S&amp;P 500 — Indexed to 100 at April 22, 2026 (Q1 2026 Earnings). Source: Stock Price Data (Yahoo Finance).</w:t>
      </w:r>
    </w:p>
    <w:p>
      <w:r>
        <w:br w:type="page"/>
      </w:r>
    </w:p>
    <w:p>
      <w:pPr>
        <w:pStyle w:val="Heading2"/>
      </w:pPr>
      <w:r>
        <w:rPr>
          <w:rFonts w:ascii="Calibri" w:hAnsi="Calibri"/>
          <w:b/>
          <w:color w:val="3B4259"/>
          <w:sz w:val="28"/>
        </w:rPr>
        <w:t>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Q1 2026 earnings calls (April–May 2026) and JBHT's Q2 2026 print (July 15, 2026) collectively point to </w:t>
      </w:r>
      <w:r>
        <w:rPr>
          <w:rFonts w:ascii="Calibri" w:hAnsi="Calibri"/>
          <w:b/>
          <w:color w:val="525866"/>
          <w:sz w:val="22"/>
        </w:rPr>
        <w:t>accelerating intermodal demand, tightening truck capacity, and fuel-driven margin pressure</w:t>
      </w:r>
      <w:r>
        <w:rPr>
          <w:rFonts w:ascii="Calibri" w:hAnsi="Calibri"/>
          <w:color w:val="525866"/>
          <w:sz w:val="22"/>
        </w:rPr>
        <w:t xml:space="preserve"> as the dominant Q2 themes — all of which are net positives for CSX volume but create OR headwinds that management pre-flagged.</w:t>
      </w:r>
    </w:p>
    <w:p>
      <w:r>
        <w:rPr>
          <w:rFonts w:ascii="Calibri" w:hAnsi="Calibri"/>
          <w:i/>
          <w:color w:val="525866"/>
          <w:sz w:val="22"/>
        </w:rPr>
        <w:t>Note: Only commentary about Q2 2026 conditions or forward-looking statements made after Q1 2026 earnings are included below. Q1 2026 results commentary from peers is excluded.</w:t>
      </w:r>
    </w:p>
    <w:p>
      <w:pPr>
        <w:pStyle w:val="Heading3"/>
      </w:pPr>
      <w:r>
        <w:rPr>
          <w:rFonts w:ascii="Calibri" w:hAnsi="Calibri"/>
          <w:b/>
          <w:color w:val="3B4259"/>
          <w:sz w:val="24"/>
        </w:rPr>
        <w:t>J.B. Hunt Transport (JBHT) — Q2 2026 Earnings Call (July 15, 2026)</w:t>
      </w:r>
    </w:p>
    <w:p>
      <w:r>
        <w:rPr>
          <w:rFonts w:ascii="Calibri" w:hAnsi="Calibri"/>
          <w:b/>
          <w:color w:val="525866"/>
          <w:sz w:val="22"/>
          <w:u w:val="single"/>
        </w:rPr>
        <w:t>Most directly relevant read-through for CSX Q2 intermodal volumes.</w:t>
      </w:r>
    </w:p>
    <w:p>
      <w:pPr>
        <w:pStyle w:val="ListBullet"/>
        <w:ind w:left="360" w:hanging="360"/>
      </w:pPr>
      <w:r>
        <w:rPr>
          <w:rFonts w:ascii="Calibri" w:hAnsi="Calibri"/>
          <w:b/>
          <w:color w:val="525866"/>
          <w:sz w:val="22"/>
        </w:rPr>
        <w:t xml:space="preserve">Record intermodal quarter: </w:t>
      </w:r>
      <w:r>
        <w:rPr>
          <w:rFonts w:ascii="Calibri" w:hAnsi="Calibri"/>
          <w:color w:val="525866"/>
          <w:sz w:val="22"/>
        </w:rPr>
        <w:t xml:space="preserve">JBHT reported 578,000+ intermodal loads in Q2 2026, a </w:t>
      </w:r>
      <w:r>
        <w:rPr>
          <w:rFonts w:ascii="Calibri" w:hAnsi="Calibri"/>
          <w:b/>
          <w:color w:val="525866"/>
          <w:sz w:val="22"/>
        </w:rPr>
        <w:t>10% YoY increase</w:t>
      </w:r>
      <w:r>
        <w:rPr>
          <w:rFonts w:ascii="Calibri" w:hAnsi="Calibri"/>
          <w:color w:val="525866"/>
          <w:sz w:val="22"/>
        </w:rPr>
        <w:t xml:space="preserve"> — the first double-digit volume growth quarter in over a decade. Eastern network volume surged </w:t>
      </w:r>
      <w:r>
        <w:rPr>
          <w:rFonts w:ascii="Calibri" w:hAnsi="Calibri"/>
          <w:b/>
          <w:color w:val="525866"/>
          <w:sz w:val="22"/>
        </w:rPr>
        <w:t>+16% YoY</w:t>
      </w:r>
      <w:r>
        <w:rPr>
          <w:rFonts w:ascii="Calibri" w:hAnsi="Calibri"/>
          <w:color w:val="525866"/>
          <w:sz w:val="22"/>
        </w:rPr>
        <w:t xml:space="preserve"> (building on +15% in Q1), a 31% two-year stacked increase. </w:t>
      </w:r>
    </w:p>
    <w:p>
      <w:pPr>
        <w:pStyle w:val="ListBullet"/>
        <w:ind w:left="360" w:hanging="360"/>
      </w:pPr>
      <w:r>
        <w:rPr>
          <w:rFonts w:ascii="Calibri" w:hAnsi="Calibri"/>
          <w:b/>
          <w:color w:val="525866"/>
          <w:sz w:val="22"/>
        </w:rPr>
        <w:t xml:space="preserve">CSX read-through: </w:t>
      </w:r>
      <w:r>
        <w:rPr>
          <w:rFonts w:ascii="Calibri" w:hAnsi="Calibri"/>
          <w:color w:val="525866"/>
          <w:sz w:val="22"/>
        </w:rPr>
        <w:t>CSX is the primary eastern rail partner for JBHT's intermodal operations. JBHT's eastern volume surge is a direct leading indicator for CSX intermodal carloads in Q2. Management had already flagged Q2 volume trends running well ahead of full-year targets at the Q1 call.</w:t>
      </w:r>
    </w:p>
    <w:p>
      <w:pPr>
        <w:pStyle w:val="ListBullet"/>
        <w:ind w:left="360" w:hanging="360"/>
      </w:pPr>
      <w:r>
        <w:rPr>
          <w:rFonts w:ascii="Calibri" w:hAnsi="Calibri"/>
          <w:b/>
          <w:color w:val="525866"/>
          <w:sz w:val="22"/>
        </w:rPr>
        <w:t xml:space="preserve">Truck-to-rail conversion at decade highs: </w:t>
      </w:r>
      <w:r>
        <w:rPr>
          <w:rFonts w:ascii="Calibri" w:hAnsi="Calibri"/>
          <w:color w:val="525866"/>
          <w:sz w:val="22"/>
        </w:rPr>
        <w:t xml:space="preserve">JBHT described the intermodal value proposition as "the strongest it has been in more than a decade," driven by rising truckload rates, higher fuel prices, and tightening truckload capacity. Accelerated conversion activity reached levels not seen in over a decade. </w:t>
      </w:r>
    </w:p>
    <w:p>
      <w:pPr>
        <w:pStyle w:val="ListBullet"/>
        <w:ind w:left="360" w:hanging="360"/>
      </w:pPr>
      <w:r>
        <w:rPr>
          <w:rFonts w:ascii="Calibri" w:hAnsi="Calibri"/>
          <w:b/>
          <w:color w:val="525866"/>
          <w:sz w:val="22"/>
        </w:rPr>
        <w:t xml:space="preserve">CSX read-through: </w:t>
      </w:r>
      <w:r>
        <w:rPr>
          <w:rFonts w:ascii="Calibri" w:hAnsi="Calibri"/>
          <w:color w:val="525866"/>
          <w:sz w:val="22"/>
        </w:rPr>
        <w:t>Supports CSX's domestic intermodal volume thesis and the Howard Street Tunnel double-stack opportunity. Higher fuel prices increase rail's cost advantage over truck, directly benefiting CSX's intermodal and merchandise conversion pipeline.</w:t>
      </w:r>
    </w:p>
    <w:p>
      <w:pPr>
        <w:pStyle w:val="ListBullet"/>
        <w:ind w:left="360" w:hanging="360"/>
      </w:pPr>
      <w:r>
        <w:rPr>
          <w:rFonts w:ascii="Calibri" w:hAnsi="Calibri"/>
          <w:b/>
          <w:color w:val="525866"/>
          <w:sz w:val="22"/>
        </w:rPr>
        <w:t xml:space="preserve">Pricing evolution: </w:t>
      </w:r>
      <w:r>
        <w:rPr>
          <w:rFonts w:ascii="Calibri" w:hAnsi="Calibri"/>
          <w:color w:val="525866"/>
          <w:sz w:val="22"/>
        </w:rPr>
        <w:t xml:space="preserve">JBHT noted customers initiating "out-of-cycle" mini-bids to reset pricing upward, with new business pricing contributing positively. The gap between highway rates and intermodal rates has widened, with JBHT expecting to close it through the rest of 2026 and into the 2027 bid cycle. </w:t>
      </w:r>
    </w:p>
    <w:p>
      <w:pPr>
        <w:pStyle w:val="ListBullet"/>
        <w:ind w:left="360" w:hanging="360"/>
      </w:pPr>
      <w:r>
        <w:rPr>
          <w:rFonts w:ascii="Calibri" w:hAnsi="Calibri"/>
          <w:b/>
          <w:color w:val="525866"/>
          <w:sz w:val="22"/>
        </w:rPr>
        <w:t xml:space="preserve">CSX read-through: </w:t>
      </w:r>
      <w:r>
        <w:rPr>
          <w:rFonts w:ascii="Calibri" w:hAnsi="Calibri"/>
          <w:color w:val="525866"/>
          <w:sz w:val="22"/>
        </w:rPr>
        <w:t>Positive for CSX intermodal revenue per unit (RPU) trajectory in H2 2026 and into 2027 contract renewals. CSX management had flagged discretionary pricing as "solid" and expected to benefit later in 2026.</w:t>
      </w:r>
    </w:p>
    <w:p>
      <w:pPr>
        <w:pStyle w:val="ListBullet"/>
        <w:ind w:left="360" w:hanging="360"/>
      </w:pPr>
      <w:r>
        <w:rPr>
          <w:rFonts w:ascii="Calibri" w:hAnsi="Calibri"/>
          <w:b/>
          <w:color w:val="525866"/>
          <w:sz w:val="22"/>
        </w:rPr>
        <w:t xml:space="preserve">Drayage tightness: </w:t>
      </w:r>
      <w:r>
        <w:rPr>
          <w:rFonts w:ascii="Calibri" w:hAnsi="Calibri"/>
          <w:color w:val="525866"/>
          <w:sz w:val="22"/>
        </w:rPr>
        <w:t xml:space="preserve">JBHT flagged that the same supply challenges affecting truckload capacity are also impacting the drayage market, with driver availability remaining tight. JBHT's in-source drayage strategy was highlighted as a competitive advantage. </w:t>
      </w:r>
    </w:p>
    <w:p>
      <w:pPr>
        <w:pStyle w:val="ListBullet"/>
        <w:ind w:left="360" w:hanging="360"/>
      </w:pPr>
      <w:r>
        <w:rPr>
          <w:rFonts w:ascii="Calibri" w:hAnsi="Calibri"/>
          <w:b/>
          <w:color w:val="525866"/>
          <w:sz w:val="22"/>
        </w:rPr>
        <w:t xml:space="preserve">CSX read-through: </w:t>
      </w:r>
      <w:r>
        <w:rPr>
          <w:rFonts w:ascii="Calibri" w:hAnsi="Calibri"/>
          <w:color w:val="525866"/>
          <w:sz w:val="22"/>
        </w:rPr>
        <w:t>Potential constraint on intermodal volume growth if drayage bottlenecks limit first/last-mile capacity, though CSX's network-level exposure is indirect.</w:t>
      </w:r>
    </w:p>
    <w:p>
      <w:pPr>
        <w:pStyle w:val="Heading3"/>
      </w:pPr>
      <w:r>
        <w:rPr>
          <w:rFonts w:ascii="Calibri" w:hAnsi="Calibri"/>
          <w:b/>
          <w:color w:val="3B4259"/>
          <w:sz w:val="24"/>
        </w:rPr>
        <w:t>Norfolk Southern (NSC) — Q1 2026 Earnings Call (April 24, 2026)</w:t>
      </w:r>
    </w:p>
    <w:p>
      <w:r>
        <w:rPr>
          <w:rFonts w:ascii="Calibri" w:hAnsi="Calibri"/>
          <w:b/>
          <w:color w:val="525866"/>
          <w:sz w:val="22"/>
          <w:u w:val="single"/>
        </w:rPr>
        <w:t>Eastern rail peer; most direct competitive read-through for CSX merchandise and coal.</w:t>
      </w:r>
    </w:p>
    <w:p>
      <w:pPr>
        <w:pStyle w:val="ListBullet"/>
        <w:ind w:left="360" w:hanging="360"/>
      </w:pPr>
      <w:r>
        <w:rPr>
          <w:rFonts w:ascii="Calibri" w:hAnsi="Calibri"/>
          <w:b/>
          <w:color w:val="525866"/>
          <w:sz w:val="22"/>
        </w:rPr>
        <w:t xml:space="preserve">Q2 OR improvement of ~200 bps sequentially expected: </w:t>
      </w:r>
      <w:r>
        <w:rPr>
          <w:rFonts w:ascii="Calibri" w:hAnsi="Calibri"/>
          <w:color w:val="525866"/>
          <w:sz w:val="22"/>
        </w:rPr>
        <w:t xml:space="preserve">NSC guided for approximately 200 bps of sequential OR improvement from Q1 to Q2, despite headwinds from inflation (~4% YoY cost pressure), a $35M land sale in Q2 2025 that won't recur, and fuel headwinds. </w:t>
      </w:r>
    </w:p>
    <w:p>
      <w:pPr>
        <w:pStyle w:val="ListBullet"/>
        <w:ind w:left="360" w:hanging="360"/>
      </w:pPr>
      <w:r>
        <w:rPr>
          <w:rFonts w:ascii="Calibri" w:hAnsi="Calibri"/>
          <w:b/>
          <w:color w:val="525866"/>
          <w:sz w:val="22"/>
        </w:rPr>
        <w:t xml:space="preserve">CSX read-through: </w:t>
      </w:r>
      <w:r>
        <w:rPr>
          <w:rFonts w:ascii="Calibri" w:hAnsi="Calibri"/>
          <w:color w:val="525866"/>
          <w:sz w:val="22"/>
        </w:rPr>
        <w:t>NSC's ability to guide for sequential OR improvement despite these headwinds is broadly supportive of the eastern rail cost discipline narrative. However, CSX faces similar fuel headwinds and also flagged Q2-specific nonseasonal expenses (incentive comp, loco overhauls, M&amp;A advisory costs).</w:t>
      </w:r>
    </w:p>
    <w:p>
      <w:pPr>
        <w:pStyle w:val="ListBullet"/>
        <w:ind w:left="360" w:hanging="360"/>
      </w:pPr>
      <w:r>
        <w:rPr>
          <w:rFonts w:ascii="Calibri" w:hAnsi="Calibri"/>
          <w:b/>
          <w:color w:val="525866"/>
          <w:sz w:val="22"/>
        </w:rPr>
        <w:t xml:space="preserve">Intermodal cautiously optimistic but tempered by merger activity: </w:t>
      </w:r>
      <w:r>
        <w:rPr>
          <w:rFonts w:ascii="Calibri" w:hAnsi="Calibri"/>
          <w:color w:val="525866"/>
          <w:sz w:val="22"/>
        </w:rPr>
        <w:t xml:space="preserve">NSC described an "optimistic view of intermodal" for domestic non-premium, but tempered by increased competitor activity following the merger announcement. International intermodal expected to "remain soft due to continued tariff volatility." </w:t>
      </w:r>
    </w:p>
    <w:p>
      <w:pPr>
        <w:pStyle w:val="ListBullet"/>
        <w:ind w:left="360" w:hanging="360"/>
      </w:pPr>
      <w:r>
        <w:rPr>
          <w:rFonts w:ascii="Calibri" w:hAnsi="Calibri"/>
          <w:b/>
          <w:color w:val="525866"/>
          <w:sz w:val="22"/>
        </w:rPr>
        <w:t xml:space="preserve">CSX read-through: </w:t>
      </w:r>
      <w:r>
        <w:rPr>
          <w:rFonts w:ascii="Calibri" w:hAnsi="Calibri"/>
          <w:color w:val="525866"/>
          <w:sz w:val="22"/>
        </w:rPr>
        <w:t>NSC's merger-related competitive dynamics (losing some intermodal business to competitors) could be a modest tailwind for CSX if shippers redirect freight to CSX's network.</w:t>
      </w:r>
    </w:p>
    <w:p>
      <w:pPr>
        <w:pStyle w:val="ListBullet"/>
        <w:ind w:left="360" w:hanging="360"/>
      </w:pPr>
      <w:r>
        <w:rPr>
          <w:rFonts w:ascii="Calibri" w:hAnsi="Calibri"/>
          <w:b/>
          <w:color w:val="525866"/>
          <w:sz w:val="22"/>
        </w:rPr>
        <w:t xml:space="preserve">Coal: utility volumes strong, export RPU headwind: </w:t>
      </w:r>
      <w:r>
        <w:rPr>
          <w:rFonts w:ascii="Calibri" w:hAnsi="Calibri"/>
          <w:color w:val="525866"/>
          <w:sz w:val="22"/>
        </w:rPr>
        <w:t xml:space="preserve">NSC reported coal volume up 9% YoY in Q1 but revenue down 2% as utility mix growth and export pricing overhang drove RPU down 9%. Utility outlook remains positive; export thermal coal could benefit if Middle East conflict continues to disrupt LNG supply chains. </w:t>
      </w:r>
    </w:p>
    <w:p>
      <w:pPr>
        <w:pStyle w:val="ListBullet"/>
        <w:ind w:left="360" w:hanging="360"/>
      </w:pPr>
      <w:r>
        <w:rPr>
          <w:rFonts w:ascii="Calibri" w:hAnsi="Calibri"/>
          <w:b/>
          <w:color w:val="525866"/>
          <w:sz w:val="22"/>
        </w:rPr>
        <w:t xml:space="preserve">CSX read-through: </w:t>
      </w:r>
      <w:r>
        <w:rPr>
          <w:rFonts w:ascii="Calibri" w:hAnsi="Calibri"/>
          <w:color w:val="525866"/>
          <w:sz w:val="22"/>
        </w:rPr>
        <w:t>Consistent with CSX's own Q1 coal commentary (domestic utility strong, export slightly down). The Middle East conflict-driven thermal coal export opportunity is a potential Q2 upside for CSX's coal RPU.</w:t>
      </w:r>
    </w:p>
    <w:p>
      <w:pPr>
        <w:pStyle w:val="ListBullet"/>
        <w:ind w:left="360" w:hanging="360"/>
      </w:pPr>
      <w:r>
        <w:rPr>
          <w:rFonts w:ascii="Calibri" w:hAnsi="Calibri"/>
          <w:b/>
          <w:color w:val="525866"/>
          <w:sz w:val="22"/>
        </w:rPr>
        <w:t xml:space="preserve">Manufacturing "green shoots": </w:t>
      </w:r>
      <w:r>
        <w:rPr>
          <w:rFonts w:ascii="Calibri" w:hAnsi="Calibri"/>
          <w:color w:val="525866"/>
          <w:sz w:val="22"/>
        </w:rPr>
        <w:t xml:space="preserve">NSC noted manufacturing has been "above water" for 3 straight months and described "real signs of life" in industrial production, with 12 industrial development projects coming online in Q1 worth ~70,000 loads at full ramp. </w:t>
      </w:r>
    </w:p>
    <w:p>
      <w:pPr>
        <w:pStyle w:val="ListBullet"/>
        <w:ind w:left="360" w:hanging="360"/>
      </w:pPr>
      <w:r>
        <w:rPr>
          <w:rFonts w:ascii="Calibri" w:hAnsi="Calibri"/>
          <w:b/>
          <w:color w:val="525866"/>
          <w:sz w:val="22"/>
        </w:rPr>
        <w:t xml:space="preserve">CSX read-through: </w:t>
      </w:r>
      <w:r>
        <w:rPr>
          <w:rFonts w:ascii="Calibri" w:hAnsi="Calibri"/>
          <w:color w:val="525866"/>
          <w:sz w:val="22"/>
        </w:rPr>
        <w:t>Corroborates CSX's own industrial development pipeline momentum (21 projects in Q1, 100 expected for full year). Broad-based manufacturing improvement would benefit CSX's merchandise segment.</w:t>
      </w:r>
    </w:p>
    <w:p>
      <w:pPr>
        <w:pStyle w:val="ListBullet"/>
        <w:ind w:left="360" w:hanging="360"/>
      </w:pPr>
      <w:r>
        <w:rPr>
          <w:rFonts w:ascii="Calibri" w:hAnsi="Calibri"/>
          <w:b/>
          <w:color w:val="525866"/>
          <w:sz w:val="22"/>
        </w:rPr>
        <w:t xml:space="preserve">Truck market turning positive: </w:t>
      </w:r>
      <w:r>
        <w:rPr>
          <w:rFonts w:ascii="Calibri" w:hAnsi="Calibri"/>
          <w:color w:val="525866"/>
          <w:sz w:val="22"/>
        </w:rPr>
        <w:t xml:space="preserve">NSC noted dry van rates trending upward in Q1 2026 and capacity continuing to rightsize, with higher fuel prices making intermodal "more compelling naturally." </w:t>
      </w:r>
    </w:p>
    <w:p>
      <w:pPr>
        <w:pStyle w:val="ListBullet"/>
        <w:ind w:left="360" w:hanging="360"/>
      </w:pPr>
      <w:r>
        <w:rPr>
          <w:rFonts w:ascii="Calibri" w:hAnsi="Calibri"/>
          <w:b/>
          <w:color w:val="525866"/>
          <w:sz w:val="22"/>
        </w:rPr>
        <w:t xml:space="preserve">CSX read-through: </w:t>
      </w:r>
      <w:r>
        <w:rPr>
          <w:rFonts w:ascii="Calibri" w:hAnsi="Calibri"/>
          <w:color w:val="525866"/>
          <w:sz w:val="22"/>
        </w:rPr>
        <w:t>Directly supportive of CSX's truck-to-rail conversion thesis, particularly in domestic intermodal and forest products.</w:t>
      </w:r>
    </w:p>
    <w:p>
      <w:pPr>
        <w:pStyle w:val="Heading3"/>
      </w:pPr>
      <w:r>
        <w:rPr>
          <w:rFonts w:ascii="Calibri" w:hAnsi="Calibri"/>
          <w:b/>
          <w:color w:val="3B4259"/>
          <w:sz w:val="24"/>
        </w:rPr>
        <w:t>Union Pacific (UNP) — Q1 2026 Earnings Call (April 23, 2026)</w:t>
      </w:r>
    </w:p>
    <w:p>
      <w:r>
        <w:rPr>
          <w:rFonts w:ascii="Calibri" w:hAnsi="Calibri"/>
          <w:b/>
          <w:color w:val="525866"/>
          <w:sz w:val="22"/>
          <w:u w:val="single"/>
        </w:rPr>
        <w:t>Western rail peer; useful for macro freight environment and fuel dynamics read-through.</w:t>
      </w:r>
    </w:p>
    <w:p>
      <w:pPr>
        <w:pStyle w:val="ListBullet"/>
        <w:ind w:left="360" w:hanging="360"/>
      </w:pPr>
      <w:r>
        <w:rPr>
          <w:rFonts w:ascii="Calibri" w:hAnsi="Calibri"/>
          <w:b/>
          <w:color w:val="525866"/>
          <w:sz w:val="22"/>
        </w:rPr>
        <w:t xml:space="preserve">Fuel headwind explicitly flagged for Q2: </w:t>
      </w:r>
      <w:r>
        <w:rPr>
          <w:rFonts w:ascii="Calibri" w:hAnsi="Calibri"/>
          <w:color w:val="525866"/>
          <w:sz w:val="22"/>
        </w:rPr>
        <w:t xml:space="preserve">UNP noted diesel prices averaging "over $4 per gallon" in April 2026, calling fuel "a headwind, particularly here in the second quarter." Original $2.35/gallon estimate established in January is now "much harder to predict." </w:t>
      </w:r>
    </w:p>
    <w:p>
      <w:pPr>
        <w:pStyle w:val="ListBullet"/>
        <w:ind w:left="360" w:hanging="360"/>
      </w:pPr>
      <w:r>
        <w:rPr>
          <w:rFonts w:ascii="Calibri" w:hAnsi="Calibri"/>
          <w:b/>
          <w:color w:val="525866"/>
          <w:sz w:val="22"/>
        </w:rPr>
        <w:t xml:space="preserve">CSX read-through: </w:t>
      </w:r>
      <w:r>
        <w:rPr>
          <w:rFonts w:ascii="Calibri" w:hAnsi="Calibri"/>
          <w:color w:val="525866"/>
          <w:sz w:val="22"/>
        </w:rPr>
        <w:t>Directly corroborates CSX management's Q1 call warning that fuel at higher levels in Q2 "will have some pressure on the margin side." CSX estimated fuel adds ~100 bps to the operating ratio for the rest of the year. This is the single most important Q2 margin risk for CSX.</w:t>
      </w:r>
    </w:p>
    <w:p>
      <w:pPr>
        <w:pStyle w:val="ListBullet"/>
        <w:ind w:left="360" w:hanging="360"/>
      </w:pPr>
      <w:r>
        <w:rPr>
          <w:rFonts w:ascii="Calibri" w:hAnsi="Calibri"/>
          <w:b/>
          <w:color w:val="525866"/>
          <w:sz w:val="22"/>
        </w:rPr>
        <w:t xml:space="preserve">Domestic intermodal: third consecutive record quarter: </w:t>
      </w:r>
      <w:r>
        <w:rPr>
          <w:rFonts w:ascii="Calibri" w:hAnsi="Calibri"/>
          <w:color w:val="525866"/>
          <w:sz w:val="22"/>
        </w:rPr>
        <w:t xml:space="preserve">UNP reported its third consecutive record domestic intermodal quarter, driven by over-the-road conversions and strong service. International intermodal volumes declined 28% YoY due to lower West Coast imports and customer shifts. </w:t>
      </w:r>
    </w:p>
    <w:p>
      <w:pPr>
        <w:pStyle w:val="ListBullet"/>
        <w:ind w:left="360" w:hanging="360"/>
      </w:pPr>
      <w:r>
        <w:rPr>
          <w:rFonts w:ascii="Calibri" w:hAnsi="Calibri"/>
          <w:b/>
          <w:color w:val="525866"/>
          <w:sz w:val="22"/>
        </w:rPr>
        <w:t xml:space="preserve">CSX read-through: </w:t>
      </w:r>
      <w:r>
        <w:rPr>
          <w:rFonts w:ascii="Calibri" w:hAnsi="Calibri"/>
          <w:color w:val="525866"/>
          <w:sz w:val="22"/>
        </w:rPr>
        <w:t>Domestic intermodal strength is a consistent theme across all rail peers, supporting CSX's Q2 intermodal volume outlook. CSX's eastern network is less exposed to West Coast international intermodal weakness.</w:t>
      </w:r>
    </w:p>
    <w:p>
      <w:pPr>
        <w:pStyle w:val="ListBullet"/>
        <w:ind w:left="360" w:hanging="360"/>
      </w:pPr>
      <w:r>
        <w:rPr>
          <w:rFonts w:ascii="Calibri" w:hAnsi="Calibri"/>
          <w:b/>
          <w:color w:val="525866"/>
          <w:sz w:val="22"/>
        </w:rPr>
        <w:t xml:space="preserve">Industrial segment record: </w:t>
      </w:r>
      <w:r>
        <w:rPr>
          <w:rFonts w:ascii="Calibri" w:hAnsi="Calibri"/>
          <w:color w:val="525866"/>
          <w:sz w:val="22"/>
        </w:rPr>
        <w:t xml:space="preserve">UNP's industrial revenue was up 5% on 4% volume growth, delivering a record first quarter, driven by LNG terminal and data center construction demand, and petrochemicals. </w:t>
      </w:r>
    </w:p>
    <w:p>
      <w:pPr>
        <w:pStyle w:val="ListBullet"/>
        <w:ind w:left="360" w:hanging="360"/>
      </w:pPr>
      <w:r>
        <w:rPr>
          <w:rFonts w:ascii="Calibri" w:hAnsi="Calibri"/>
          <w:b/>
          <w:color w:val="525866"/>
          <w:sz w:val="22"/>
        </w:rPr>
        <w:t xml:space="preserve">CSX read-through: </w:t>
      </w:r>
      <w:r>
        <w:rPr>
          <w:rFonts w:ascii="Calibri" w:hAnsi="Calibri"/>
          <w:color w:val="525866"/>
          <w:sz w:val="22"/>
        </w:rPr>
        <w:t>Data center-driven frac sand demand (which CSX also flagged in Q1 for chemicals) and LNG/energy infrastructure construction are secular tailwinds that should benefit CSX's chemicals and minerals segments in Q2.</w:t>
      </w:r>
    </w:p>
    <w:p>
      <w:pPr>
        <w:pStyle w:val="ListBullet"/>
        <w:ind w:left="360" w:hanging="360"/>
      </w:pPr>
      <w:r>
        <w:rPr>
          <w:rFonts w:ascii="Calibri" w:hAnsi="Calibri"/>
          <w:b/>
          <w:color w:val="525866"/>
          <w:sz w:val="22"/>
        </w:rPr>
        <w:t xml:space="preserve">Auto production headwind: SAAR still negative ~2-3%: </w:t>
      </w:r>
      <w:r>
        <w:rPr>
          <w:rFonts w:ascii="Calibri" w:hAnsi="Calibri"/>
          <w:color w:val="525866"/>
          <w:sz w:val="22"/>
        </w:rPr>
        <w:t xml:space="preserve">UNP noted auto SAAR is "still negative, call it 2% or 3%," with softer vehicle sales expected to pressure automotive volumes, though business development wins expected to offset some impact. </w:t>
      </w:r>
    </w:p>
    <w:p>
      <w:pPr>
        <w:pStyle w:val="ListBullet"/>
        <w:ind w:left="360" w:hanging="360"/>
      </w:pPr>
      <w:r>
        <w:rPr>
          <w:rFonts w:ascii="Calibri" w:hAnsi="Calibri"/>
          <w:b/>
          <w:color w:val="525866"/>
          <w:sz w:val="22"/>
        </w:rPr>
        <w:t xml:space="preserve">CSX read-through: </w:t>
      </w:r>
      <w:r>
        <w:rPr>
          <w:rFonts w:ascii="Calibri" w:hAnsi="Calibri"/>
          <w:color w:val="525866"/>
          <w:sz w:val="22"/>
        </w:rPr>
        <w:t>Consistent with CSX's own Q1 commentary that auto production is forecast down ~2% for the year, with a major plant on CSX's network down for retooling. No improvement expected in Q2.</w:t>
      </w:r>
    </w:p>
    <w:p>
      <w:pPr>
        <w:pStyle w:val="ListBullet"/>
        <w:ind w:left="360" w:hanging="360"/>
      </w:pPr>
      <w:r>
        <w:rPr>
          <w:rFonts w:ascii="Calibri" w:hAnsi="Calibri"/>
          <w:b/>
          <w:color w:val="525866"/>
          <w:sz w:val="22"/>
        </w:rPr>
        <w:t xml:space="preserve">Affirmed full-year EPS mid-single digit growth and OR improvement: </w:t>
      </w:r>
      <w:r>
        <w:rPr>
          <w:rFonts w:ascii="Calibri" w:hAnsi="Calibri"/>
          <w:color w:val="525866"/>
          <w:sz w:val="22"/>
        </w:rPr>
        <w:t xml:space="preserve">UNP maintained its 2026 outlook despite fuel volatility, citing efficiency opportunities and business development. </w:t>
      </w:r>
    </w:p>
    <w:p>
      <w:pPr>
        <w:pStyle w:val="ListBullet"/>
        <w:ind w:left="360" w:hanging="360"/>
      </w:pPr>
      <w:r>
        <w:rPr>
          <w:rFonts w:ascii="Calibri" w:hAnsi="Calibri"/>
          <w:b/>
          <w:color w:val="525866"/>
          <w:sz w:val="22"/>
        </w:rPr>
        <w:t xml:space="preserve">CSX read-through: </w:t>
      </w:r>
      <w:r>
        <w:rPr>
          <w:rFonts w:ascii="Calibri" w:hAnsi="Calibri"/>
          <w:color w:val="525866"/>
          <w:sz w:val="22"/>
        </w:rPr>
        <w:t>Peer confidence in full-year guidance despite Q2 fuel headwinds is supportive of CSX's own raised guidance credibility.</w:t>
      </w:r>
    </w:p>
    <w:p>
      <w:pPr>
        <w:pStyle w:val="Heading3"/>
      </w:pPr>
      <w:r>
        <w:rPr>
          <w:rFonts w:ascii="Calibri" w:hAnsi="Calibri"/>
          <w:b/>
          <w:color w:val="3B4259"/>
          <w:sz w:val="24"/>
        </w:rPr>
        <w:t>Canadian National (CNI) — Q1 2026 Earnings Call (April 29, 2026)</w:t>
      </w:r>
    </w:p>
    <w:p>
      <w:r>
        <w:rPr>
          <w:rFonts w:ascii="Calibri" w:hAnsi="Calibri"/>
          <w:b/>
          <w:color w:val="525866"/>
          <w:sz w:val="22"/>
          <w:u w:val="single"/>
        </w:rPr>
        <w:t>Canadian rail peer; useful for energy/coal, intermodal, and macro read-through.</w:t>
      </w:r>
    </w:p>
    <w:p>
      <w:pPr>
        <w:pStyle w:val="ListBullet"/>
        <w:ind w:left="360" w:hanging="360"/>
      </w:pPr>
      <w:r>
        <w:rPr>
          <w:rFonts w:ascii="Calibri" w:hAnsi="Calibri"/>
          <w:b/>
          <w:color w:val="525866"/>
          <w:sz w:val="22"/>
        </w:rPr>
        <w:t xml:space="preserve">Fuel and OR headwind: WTI view raised to $80–$110/bbl: </w:t>
      </w:r>
      <w:r>
        <w:rPr>
          <w:rFonts w:ascii="Calibri" w:hAnsi="Calibri"/>
          <w:color w:val="525866"/>
          <w:sz w:val="22"/>
        </w:rPr>
        <w:t xml:space="preserve">CNI updated its WTI assumption from $60–$70 to $80–$110/bbl, noting that if fuel prices remain at current levels, it could negatively impact Q2 OR by "north of 200 basis points" and EPS by "about a couple of pennies." </w:t>
      </w:r>
    </w:p>
    <w:p>
      <w:pPr>
        <w:pStyle w:val="ListBullet"/>
        <w:ind w:left="360" w:hanging="360"/>
      </w:pPr>
      <w:r>
        <w:rPr>
          <w:rFonts w:ascii="Calibri" w:hAnsi="Calibri"/>
          <w:b/>
          <w:color w:val="525866"/>
          <w:sz w:val="22"/>
        </w:rPr>
        <w:t xml:space="preserve">CSX read-through: </w:t>
      </w:r>
      <w:r>
        <w:rPr>
          <w:rFonts w:ascii="Calibri" w:hAnsi="Calibri"/>
          <w:color w:val="525866"/>
          <w:sz w:val="22"/>
        </w:rPr>
        <w:t>Quantifies the fuel OR headwind magnitude that CSX also flagged (~100 bps per CSX's own math). The 200 bps CNI estimate reflects a different fuel surcharge structure, but the directional risk is consistent and material.</w:t>
      </w:r>
    </w:p>
    <w:p>
      <w:pPr>
        <w:pStyle w:val="ListBullet"/>
        <w:ind w:left="360" w:hanging="360"/>
      </w:pPr>
      <w:r>
        <w:rPr>
          <w:rFonts w:ascii="Calibri" w:hAnsi="Calibri"/>
          <w:b/>
          <w:color w:val="525866"/>
          <w:sz w:val="22"/>
        </w:rPr>
        <w:t xml:space="preserve">Truck market tightening supportive of pricing: </w:t>
      </w:r>
      <w:r>
        <w:rPr>
          <w:rFonts w:ascii="Calibri" w:hAnsi="Calibri"/>
          <w:color w:val="525866"/>
          <w:sz w:val="22"/>
        </w:rPr>
        <w:t xml:space="preserve">CNI noted "capacity tighten in truck markets, both in the U.S. and in Canada, and that is supportive of pricing." </w:t>
      </w:r>
    </w:p>
    <w:p>
      <w:pPr>
        <w:pStyle w:val="ListBullet"/>
        <w:ind w:left="360" w:hanging="360"/>
      </w:pPr>
      <w:r>
        <w:rPr>
          <w:rFonts w:ascii="Calibri" w:hAnsi="Calibri"/>
          <w:b/>
          <w:color w:val="525866"/>
          <w:sz w:val="22"/>
        </w:rPr>
        <w:t xml:space="preserve">CSX read-through: </w:t>
      </w:r>
      <w:r>
        <w:rPr>
          <w:rFonts w:ascii="Calibri" w:hAnsi="Calibri"/>
          <w:color w:val="525866"/>
          <w:sz w:val="22"/>
        </w:rPr>
        <w:t>Consistent with JBHT and NSC commentary; truck tightening is a broad-based tailwind for rail pricing power heading into Q2 and the 2027 bid cycle.</w:t>
      </w:r>
    </w:p>
    <w:p>
      <w:pPr>
        <w:pStyle w:val="ListBullet"/>
        <w:ind w:left="360" w:hanging="360"/>
      </w:pPr>
      <w:r>
        <w:rPr>
          <w:rFonts w:ascii="Calibri" w:hAnsi="Calibri"/>
          <w:b/>
          <w:color w:val="525866"/>
          <w:sz w:val="22"/>
        </w:rPr>
        <w:t xml:space="preserve">Thermal coal export opportunity from Middle East conflict: </w:t>
      </w:r>
      <w:r>
        <w:rPr>
          <w:rFonts w:ascii="Calibri" w:hAnsi="Calibri"/>
          <w:color w:val="525866"/>
          <w:sz w:val="22"/>
        </w:rPr>
        <w:t xml:space="preserve">CNI noted that "rising thermal coal prices driven by the Middle East conflict could support improved export demand for thermal coal." </w:t>
      </w:r>
    </w:p>
    <w:p>
      <w:pPr>
        <w:pStyle w:val="ListBullet"/>
        <w:ind w:left="360" w:hanging="360"/>
      </w:pPr>
      <w:r>
        <w:rPr>
          <w:rFonts w:ascii="Calibri" w:hAnsi="Calibri"/>
          <w:b/>
          <w:color w:val="525866"/>
          <w:sz w:val="22"/>
        </w:rPr>
        <w:t xml:space="preserve">CSX read-through: </w:t>
      </w:r>
      <w:r>
        <w:rPr>
          <w:rFonts w:ascii="Calibri" w:hAnsi="Calibri"/>
          <w:color w:val="525866"/>
          <w:sz w:val="22"/>
        </w:rPr>
        <w:t>CSX has meaningful export coal exposure. If Middle East-driven LNG supply disruptions persist, U.S. thermal coal exports could see a volume and RPU uplift in Q2 — a potential upside surprise for CSX's coal segment.</w:t>
      </w:r>
    </w:p>
    <w:p>
      <w:pPr>
        <w:pStyle w:val="ListBullet"/>
        <w:ind w:left="360" w:hanging="360"/>
      </w:pPr>
      <w:r>
        <w:rPr>
          <w:rFonts w:ascii="Calibri" w:hAnsi="Calibri"/>
          <w:b/>
          <w:color w:val="525866"/>
          <w:sz w:val="22"/>
        </w:rPr>
        <w:t xml:space="preserve">Forest products: no near-term improvement: </w:t>
      </w:r>
      <w:r>
        <w:rPr>
          <w:rFonts w:ascii="Calibri" w:hAnsi="Calibri"/>
          <w:color w:val="525866"/>
          <w:sz w:val="22"/>
        </w:rPr>
        <w:t xml:space="preserve">CNI stated it is "difficult to foresee improvement in the near term given muted housing activity in addition to the dampening effects of tariffs and duties." </w:t>
      </w:r>
    </w:p>
    <w:p>
      <w:pPr>
        <w:pStyle w:val="ListBullet"/>
        <w:ind w:left="360" w:hanging="360"/>
      </w:pPr>
      <w:r>
        <w:rPr>
          <w:rFonts w:ascii="Calibri" w:hAnsi="Calibri"/>
          <w:b/>
          <w:color w:val="525866"/>
          <w:sz w:val="22"/>
        </w:rPr>
        <w:t xml:space="preserve">CSX read-through: </w:t>
      </w:r>
      <w:r>
        <w:rPr>
          <w:rFonts w:ascii="Calibri" w:hAnsi="Calibri"/>
          <w:color w:val="525866"/>
          <w:sz w:val="22"/>
        </w:rPr>
        <w:t>Consistent with CSX's own Q1 commentary (forest products volume down 9% in Q1, housing affordability a "real headwind"). No recovery expected in Q2.</w:t>
      </w:r>
    </w:p>
    <w:p>
      <w:pPr>
        <w:pStyle w:val="ListBullet"/>
        <w:ind w:left="360" w:hanging="360"/>
      </w:pPr>
      <w:r>
        <w:rPr>
          <w:rFonts w:ascii="Calibri" w:hAnsi="Calibri"/>
          <w:b/>
          <w:color w:val="525866"/>
          <w:sz w:val="22"/>
        </w:rPr>
        <w:t xml:space="preserve">Frac sand uptick in U.S. (Marcellus Shale): </w:t>
      </w:r>
      <w:r>
        <w:rPr>
          <w:rFonts w:ascii="Calibri" w:hAnsi="Calibri"/>
          <w:color w:val="525866"/>
          <w:sz w:val="22"/>
        </w:rPr>
        <w:t xml:space="preserve">CNI noted a "recent uptick in frac sand volumes in the U.S.," significantly increasing trains into the Marcellus Shale region, "likely another benefit related to the Middle East." </w:t>
      </w:r>
    </w:p>
    <w:p>
      <w:pPr>
        <w:pStyle w:val="ListBullet"/>
        <w:ind w:left="360" w:hanging="360"/>
      </w:pPr>
      <w:r>
        <w:rPr>
          <w:rFonts w:ascii="Calibri" w:hAnsi="Calibri"/>
          <w:b/>
          <w:color w:val="525866"/>
          <w:sz w:val="22"/>
        </w:rPr>
        <w:t xml:space="preserve">CSX read-through: </w:t>
      </w:r>
      <w:r>
        <w:rPr>
          <w:rFonts w:ascii="Calibri" w:hAnsi="Calibri"/>
          <w:color w:val="525866"/>
          <w:sz w:val="22"/>
        </w:rPr>
        <w:t>CSX's chemicals segment benefited from frac sand in Q1 (data center-driven natural gas demand). The Marcellus Shale frac sand uptick is directly on CSX's eastern network and could be an incremental Q2 volume driver.</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CSX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Intermodal Volume</w:t>
            </w:r>
          </w:p>
        </w:tc>
        <w:tc>
          <w:tcPr>
            <w:tcW w:type="dxa" w:w="2160"/>
          </w:tcPr>
          <w:p>
            <w:r>
              <w:rPr>
                <w:rFonts w:ascii="Calibri" w:hAnsi="Calibri"/>
                <w:sz w:val="22"/>
              </w:rPr>
              <w:t>JBHT: +10% YoY record; eastern +16%</w:t>
            </w:r>
          </w:p>
        </w:tc>
        <w:tc>
          <w:tcPr>
            <w:tcW w:type="dxa" w:w="2160"/>
          </w:tcPr>
          <w:p>
            <w:r>
              <w:rPr>
                <w:rFonts w:ascii="Calibri" w:hAnsi="Calibri"/>
                <w:sz w:val="22"/>
              </w:rPr>
              <w:t>Strong Q2 intermodal carloads for CSX</w:t>
            </w:r>
          </w:p>
        </w:tc>
        <w:tc>
          <w:tcPr>
            <w:tcW w:type="dxa" w:w="2160"/>
          </w:tcPr>
          <w:p>
            <w:r>
              <w:rPr>
                <w:rFonts w:ascii="Calibri" w:hAnsi="Calibri"/>
                <w:b/>
                <w:color w:val="30A46C"/>
                <w:sz w:val="22"/>
              </w:rPr>
              <w:t>Positive</w:t>
            </w:r>
          </w:p>
        </w:tc>
      </w:tr>
      <w:tr>
        <w:tc>
          <w:tcPr>
            <w:tcW w:type="dxa" w:w="2160"/>
          </w:tcPr>
          <w:p>
            <w:r>
              <w:rPr>
                <w:rFonts w:ascii="Calibri" w:hAnsi="Calibri"/>
                <w:sz w:val="22"/>
              </w:rPr>
              <w:t>Truck-to-Rail Conversion</w:t>
            </w:r>
          </w:p>
        </w:tc>
        <w:tc>
          <w:tcPr>
            <w:tcW w:type="dxa" w:w="2160"/>
          </w:tcPr>
          <w:p>
            <w:r>
              <w:rPr>
                <w:rFonts w:ascii="Calibri" w:hAnsi="Calibri"/>
                <w:sz w:val="22"/>
              </w:rPr>
              <w:t>JBHT, NSC, CNI: decade-high conversion activity</w:t>
            </w:r>
          </w:p>
        </w:tc>
        <w:tc>
          <w:tcPr>
            <w:tcW w:type="dxa" w:w="2160"/>
          </w:tcPr>
          <w:p>
            <w:r>
              <w:rPr>
                <w:rFonts w:ascii="Calibri" w:hAnsi="Calibri"/>
                <w:sz w:val="22"/>
              </w:rPr>
              <w:t>Domestic intermodal &amp; merchandise volume upside</w:t>
            </w:r>
          </w:p>
        </w:tc>
        <w:tc>
          <w:tcPr>
            <w:tcW w:type="dxa" w:w="2160"/>
          </w:tcPr>
          <w:p>
            <w:r>
              <w:rPr>
                <w:rFonts w:ascii="Calibri" w:hAnsi="Calibri"/>
                <w:b/>
                <w:color w:val="30A46C"/>
                <w:sz w:val="22"/>
              </w:rPr>
              <w:t>Positive</w:t>
            </w:r>
          </w:p>
        </w:tc>
      </w:tr>
      <w:tr>
        <w:tc>
          <w:tcPr>
            <w:tcW w:type="dxa" w:w="2160"/>
          </w:tcPr>
          <w:p>
            <w:r>
              <w:rPr>
                <w:rFonts w:ascii="Calibri" w:hAnsi="Calibri"/>
                <w:sz w:val="22"/>
              </w:rPr>
              <w:t>Fuel / OR Headwind</w:t>
            </w:r>
          </w:p>
        </w:tc>
        <w:tc>
          <w:tcPr>
            <w:tcW w:type="dxa" w:w="2160"/>
          </w:tcPr>
          <w:p>
            <w:r>
              <w:rPr>
                <w:rFonts w:ascii="Calibri" w:hAnsi="Calibri"/>
                <w:sz w:val="22"/>
              </w:rPr>
              <w:t>UNP: &gt;$4/gal in April; CNI: &gt;200 bps OR impact</w:t>
            </w:r>
          </w:p>
        </w:tc>
        <w:tc>
          <w:tcPr>
            <w:tcW w:type="dxa" w:w="2160"/>
          </w:tcPr>
          <w:p>
            <w:r>
              <w:rPr>
                <w:rFonts w:ascii="Calibri" w:hAnsi="Calibri"/>
                <w:sz w:val="22"/>
              </w:rPr>
              <w:t>~100 bps OR headwind (per CSX mgmt); margin risk</w:t>
            </w:r>
          </w:p>
        </w:tc>
        <w:tc>
          <w:tcPr>
            <w:tcW w:type="dxa" w:w="2160"/>
          </w:tcPr>
          <w:p>
            <w:r>
              <w:rPr>
                <w:rFonts w:ascii="Calibri" w:hAnsi="Calibri"/>
                <w:b/>
                <w:color w:val="E5484D"/>
                <w:sz w:val="22"/>
              </w:rPr>
              <w:t>Negative</w:t>
            </w:r>
          </w:p>
        </w:tc>
      </w:tr>
      <w:tr>
        <w:tc>
          <w:tcPr>
            <w:tcW w:type="dxa" w:w="2160"/>
          </w:tcPr>
          <w:p>
            <w:r>
              <w:rPr>
                <w:rFonts w:ascii="Calibri" w:hAnsi="Calibri"/>
                <w:sz w:val="22"/>
              </w:rPr>
              <w:t>Coal — Export Thermal</w:t>
            </w:r>
          </w:p>
        </w:tc>
        <w:tc>
          <w:tcPr>
            <w:tcW w:type="dxa" w:w="2160"/>
          </w:tcPr>
          <w:p>
            <w:r>
              <w:rPr>
                <w:rFonts w:ascii="Calibri" w:hAnsi="Calibri"/>
                <w:sz w:val="22"/>
              </w:rPr>
              <w:t>NSC, CNI: Middle East conflict opening export markets</w:t>
            </w:r>
          </w:p>
        </w:tc>
        <w:tc>
          <w:tcPr>
            <w:tcW w:type="dxa" w:w="2160"/>
          </w:tcPr>
          <w:p>
            <w:r>
              <w:rPr>
                <w:rFonts w:ascii="Calibri" w:hAnsi="Calibri"/>
                <w:sz w:val="22"/>
              </w:rPr>
              <w:t>Potential Q2 upside for CSX export coal RPU</w:t>
            </w:r>
          </w:p>
        </w:tc>
        <w:tc>
          <w:tcPr>
            <w:tcW w:type="dxa" w:w="2160"/>
          </w:tcPr>
          <w:p>
            <w:r>
              <w:rPr>
                <w:rFonts w:ascii="Calibri" w:hAnsi="Calibri"/>
                <w:b/>
                <w:color w:val="30A46C"/>
                <w:sz w:val="22"/>
              </w:rPr>
              <w:t>Positive</w:t>
            </w:r>
          </w:p>
        </w:tc>
      </w:tr>
      <w:tr>
        <w:tc>
          <w:tcPr>
            <w:tcW w:type="dxa" w:w="2160"/>
          </w:tcPr>
          <w:p>
            <w:r>
              <w:rPr>
                <w:rFonts w:ascii="Calibri" w:hAnsi="Calibri"/>
                <w:sz w:val="22"/>
              </w:rPr>
              <w:t>Frac Sand (Chemicals)</w:t>
            </w:r>
          </w:p>
        </w:tc>
        <w:tc>
          <w:tcPr>
            <w:tcW w:type="dxa" w:w="2160"/>
          </w:tcPr>
          <w:p>
            <w:r>
              <w:rPr>
                <w:rFonts w:ascii="Calibri" w:hAnsi="Calibri"/>
                <w:sz w:val="22"/>
              </w:rPr>
              <w:t>CNI: Marcellus Shale frac sand uptick; UNP: data center demand</w:t>
            </w:r>
          </w:p>
        </w:tc>
        <w:tc>
          <w:tcPr>
            <w:tcW w:type="dxa" w:w="2160"/>
          </w:tcPr>
          <w:p>
            <w:r>
              <w:rPr>
                <w:rFonts w:ascii="Calibri" w:hAnsi="Calibri"/>
                <w:sz w:val="22"/>
              </w:rPr>
              <w:t>Incremental Q2 chemicals volume on CSX eastern network</w:t>
            </w:r>
          </w:p>
        </w:tc>
        <w:tc>
          <w:tcPr>
            <w:tcW w:type="dxa" w:w="2160"/>
          </w:tcPr>
          <w:p>
            <w:r>
              <w:rPr>
                <w:rFonts w:ascii="Calibri" w:hAnsi="Calibri"/>
                <w:b/>
                <w:color w:val="30A46C"/>
                <w:sz w:val="22"/>
              </w:rPr>
              <w:t>Positive</w:t>
            </w:r>
          </w:p>
        </w:tc>
      </w:tr>
      <w:tr>
        <w:tc>
          <w:tcPr>
            <w:tcW w:type="dxa" w:w="2160"/>
          </w:tcPr>
          <w:p>
            <w:r>
              <w:rPr>
                <w:rFonts w:ascii="Calibri" w:hAnsi="Calibri"/>
                <w:sz w:val="22"/>
              </w:rPr>
              <w:t>Automotive</w:t>
            </w:r>
          </w:p>
        </w:tc>
        <w:tc>
          <w:tcPr>
            <w:tcW w:type="dxa" w:w="2160"/>
          </w:tcPr>
          <w:p>
            <w:r>
              <w:rPr>
                <w:rFonts w:ascii="Calibri" w:hAnsi="Calibri"/>
                <w:sz w:val="22"/>
              </w:rPr>
              <w:t>UNP: SAAR -2-3%; NSC: subdued but positive outlook</w:t>
            </w:r>
          </w:p>
        </w:tc>
        <w:tc>
          <w:tcPr>
            <w:tcW w:type="dxa" w:w="2160"/>
          </w:tcPr>
          <w:p>
            <w:r>
              <w:rPr>
                <w:rFonts w:ascii="Calibri" w:hAnsi="Calibri"/>
                <w:sz w:val="22"/>
              </w:rPr>
              <w:t>No improvement; major plant retooling on CSX network</w:t>
            </w:r>
          </w:p>
        </w:tc>
        <w:tc>
          <w:tcPr>
            <w:tcW w:type="dxa" w:w="2160"/>
          </w:tcPr>
          <w:p>
            <w:r>
              <w:rPr>
                <w:rFonts w:ascii="Calibri" w:hAnsi="Calibri"/>
                <w:b/>
                <w:color w:val="E5484D"/>
                <w:sz w:val="22"/>
              </w:rPr>
              <w:t>Negative</w:t>
            </w:r>
          </w:p>
        </w:tc>
      </w:tr>
      <w:tr>
        <w:tc>
          <w:tcPr>
            <w:tcW w:type="dxa" w:w="2160"/>
          </w:tcPr>
          <w:p>
            <w:r>
              <w:rPr>
                <w:rFonts w:ascii="Calibri" w:hAnsi="Calibri"/>
                <w:sz w:val="22"/>
              </w:rPr>
              <w:t>Forest Products / Housing</w:t>
            </w:r>
          </w:p>
        </w:tc>
        <w:tc>
          <w:tcPr>
            <w:tcW w:type="dxa" w:w="2160"/>
          </w:tcPr>
          <w:p>
            <w:r>
              <w:rPr>
                <w:rFonts w:ascii="Calibri" w:hAnsi="Calibri"/>
                <w:sz w:val="22"/>
              </w:rPr>
              <w:t>CNI: no near-term improvement; housing affordability headwind</w:t>
            </w:r>
          </w:p>
        </w:tc>
        <w:tc>
          <w:tcPr>
            <w:tcW w:type="dxa" w:w="2160"/>
          </w:tcPr>
          <w:p>
            <w:r>
              <w:rPr>
                <w:rFonts w:ascii="Calibri" w:hAnsi="Calibri"/>
                <w:sz w:val="22"/>
              </w:rPr>
              <w:t>Forest products volume drag continues in Q2</w:t>
            </w:r>
          </w:p>
        </w:tc>
        <w:tc>
          <w:tcPr>
            <w:tcW w:type="dxa" w:w="2160"/>
          </w:tcPr>
          <w:p>
            <w:r>
              <w:rPr>
                <w:rFonts w:ascii="Calibri" w:hAnsi="Calibri"/>
                <w:b/>
                <w:color w:val="E5484D"/>
                <w:sz w:val="22"/>
              </w:rPr>
              <w:t>Negative</w:t>
            </w:r>
          </w:p>
        </w:tc>
      </w:tr>
      <w:tr>
        <w:tc>
          <w:tcPr>
            <w:tcW w:type="dxa" w:w="2160"/>
          </w:tcPr>
          <w:p>
            <w:r>
              <w:rPr>
                <w:rFonts w:ascii="Calibri" w:hAnsi="Calibri"/>
                <w:sz w:val="22"/>
              </w:rPr>
              <w:t>Industrial / Manufacturing</w:t>
            </w:r>
          </w:p>
        </w:tc>
        <w:tc>
          <w:tcPr>
            <w:tcW w:type="dxa" w:w="2160"/>
          </w:tcPr>
          <w:p>
            <w:r>
              <w:rPr>
                <w:rFonts w:ascii="Calibri" w:hAnsi="Calibri"/>
                <w:sz w:val="22"/>
              </w:rPr>
              <w:t>NSC: 3 months above water; UNP: record industrial quarter</w:t>
            </w:r>
          </w:p>
        </w:tc>
        <w:tc>
          <w:tcPr>
            <w:tcW w:type="dxa" w:w="2160"/>
          </w:tcPr>
          <w:p>
            <w:r>
              <w:rPr>
                <w:rFonts w:ascii="Calibri" w:hAnsi="Calibri"/>
                <w:sz w:val="22"/>
              </w:rPr>
              <w:t>Broad-based industrial demand improvement supportive</w:t>
            </w:r>
          </w:p>
        </w:tc>
        <w:tc>
          <w:tcPr>
            <w:tcW w:type="dxa" w:w="2160"/>
          </w:tcPr>
          <w:p>
            <w:r>
              <w:rPr>
                <w:rFonts w:ascii="Calibri" w:hAnsi="Calibri"/>
                <w:b/>
                <w:color w:val="30A46C"/>
                <w:sz w:val="22"/>
              </w:rPr>
              <w:t>Positive</w:t>
            </w:r>
          </w:p>
        </w:tc>
      </w:tr>
      <w:tr>
        <w:tc>
          <w:tcPr>
            <w:tcW w:type="dxa" w:w="2160"/>
          </w:tcPr>
          <w:p>
            <w:r>
              <w:rPr>
                <w:rFonts w:ascii="Calibri" w:hAnsi="Calibri"/>
                <w:sz w:val="22"/>
              </w:rPr>
              <w:t>Rail Pricing Power</w:t>
            </w:r>
          </w:p>
        </w:tc>
        <w:tc>
          <w:tcPr>
            <w:tcW w:type="dxa" w:w="2160"/>
          </w:tcPr>
          <w:p>
            <w:r>
              <w:rPr>
                <w:rFonts w:ascii="Calibri" w:hAnsi="Calibri"/>
                <w:sz w:val="22"/>
              </w:rPr>
              <w:t>NSC, CNI, JBHT: truck tightening supportive of pricing</w:t>
            </w:r>
          </w:p>
        </w:tc>
        <w:tc>
          <w:tcPr>
            <w:tcW w:type="dxa" w:w="2160"/>
          </w:tcPr>
          <w:p>
            <w:r>
              <w:rPr>
                <w:rFonts w:ascii="Calibri" w:hAnsi="Calibri"/>
                <w:sz w:val="22"/>
              </w:rPr>
              <w:t>CSX discretionary pricing "solid"; benefits later in 2026</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$5B share buyback authorization</w:t>
      </w:r>
      <w:r>
        <w:rPr>
          <w:rFonts w:ascii="Calibri" w:hAnsi="Calibri"/>
          <w:color w:val="525866"/>
          <w:sz w:val="22"/>
        </w:rPr>
        <w:t xml:space="preserve"> (May 12) is the most significant post-earnings development — it signals management's conviction in the FCF trajectory and provides a structural floor for the stock; the CDO departure (May 14) is a minor leadership risk but the quick internal succession mitigates concern.</w:t>
      </w:r>
    </w:p>
    <w:p>
      <w:pPr>
        <w:pStyle w:val="ListBullet"/>
        <w:ind w:left="360" w:hanging="360"/>
      </w:pPr>
      <w:r>
        <w:rPr>
          <w:rFonts w:ascii="Calibri" w:hAnsi="Calibri"/>
          <w:b/>
          <w:color w:val="525866"/>
          <w:sz w:val="22"/>
        </w:rPr>
        <w:t xml:space="preserve">May 12, 2026 — $5 Billion Share Repurchase Authorization: </w:t>
      </w:r>
      <w:r>
        <w:rPr>
          <w:rFonts w:ascii="Calibri" w:hAnsi="Calibri"/>
          <w:color w:val="525866"/>
          <w:sz w:val="22"/>
        </w:rPr>
        <w:t xml:space="preserve">Board authorized a new $5B buyback program, supplementing ~$989M remaining under the prior program as of March 31, 2026. Total buyback capacity now exceeds $5.9B. </w:t>
      </w:r>
    </w:p>
    <w:p>
      <w:pPr>
        <w:pStyle w:val="ListBullet"/>
        <w:ind w:left="360" w:hanging="360"/>
      </w:pPr>
      <w:r>
        <w:rPr>
          <w:rFonts w:ascii="Calibri" w:hAnsi="Calibri"/>
          <w:b/>
          <w:color w:val="525866"/>
          <w:sz w:val="22"/>
        </w:rPr>
        <w:t xml:space="preserve">Implication: </w:t>
      </w:r>
      <w:r>
        <w:rPr>
          <w:rFonts w:ascii="Calibri" w:hAnsi="Calibri"/>
          <w:color w:val="525866"/>
          <w:sz w:val="22"/>
        </w:rPr>
        <w:t>Largest capital return signal in recent history; management is effectively pre-committing to deploying the &gt;60% FCF growth guidance into shareholder returns. Provides a strong floor for the stock and signals confidence in the cost-savings trajectory.</w:t>
      </w:r>
    </w:p>
    <w:p>
      <w:pPr>
        <w:pStyle w:val="ListBullet"/>
        <w:ind w:left="360" w:hanging="360"/>
      </w:pPr>
      <w:r>
        <w:rPr>
          <w:rFonts w:ascii="Calibri" w:hAnsi="Calibri"/>
          <w:b/>
          <w:color w:val="525866"/>
          <w:sz w:val="22"/>
        </w:rPr>
        <w:t xml:space="preserve">May 14, 2026 — CDO Departure / Digital &amp; Technology Leadership Change: </w:t>
      </w:r>
      <w:r>
        <w:rPr>
          <w:rFonts w:ascii="Calibri" w:hAnsi="Calibri"/>
          <w:color w:val="525866"/>
          <w:sz w:val="22"/>
        </w:rPr>
        <w:t xml:space="preserve">Stephen Fortune (EVP &amp; Chief Digital &amp; Technology Officer) was separated from employment effective immediately. Steve Watkins (VP of Product Management for Rail Operations) assumed responsibilities, reporting to CFO Kevin Boone. </w:t>
      </w:r>
    </w:p>
    <w:p>
      <w:pPr>
        <w:pStyle w:val="ListBullet"/>
        <w:ind w:left="360" w:hanging="360"/>
      </w:pPr>
      <w:r>
        <w:rPr>
          <w:rFonts w:ascii="Calibri" w:hAnsi="Calibri"/>
          <w:b/>
          <w:color w:val="525866"/>
          <w:sz w:val="22"/>
        </w:rPr>
        <w:t xml:space="preserve">Implication: </w:t>
      </w:r>
      <w:r>
        <w:rPr>
          <w:rFonts w:ascii="Calibri" w:hAnsi="Calibri"/>
          <w:color w:val="525866"/>
          <w:sz w:val="22"/>
        </w:rPr>
        <w:t>Unexpected leadership change in a function management had highlighted as critical for AI-driven efficiency initiatives (crew management, fleet monitoring, pricing analytics). The internal succession and reporting to the CFO suggests a pragmatic, cost-focused reorientation of the digital function rather than a strategic pivot. Monitor for any commentary on AI initiative timelines at Q2 earnings.</w:t>
      </w:r>
    </w:p>
    <w:p>
      <w:pPr>
        <w:pStyle w:val="ListBullet"/>
        <w:ind w:left="360" w:hanging="360"/>
      </w:pPr>
      <w:r>
        <w:rPr>
          <w:rFonts w:ascii="Calibri" w:hAnsi="Calibri"/>
          <w:b/>
          <w:color w:val="525866"/>
          <w:sz w:val="22"/>
        </w:rPr>
        <w:t xml:space="preserve">Early May 2026 — Howard Street Tunnel Opens for Double-Stack Operations: </w:t>
      </w:r>
      <w:r>
        <w:rPr>
          <w:rFonts w:ascii="Calibri" w:hAnsi="Calibri"/>
          <w:color w:val="525866"/>
          <w:sz w:val="22"/>
        </w:rPr>
        <w:t xml:space="preserve">First double-stack train ran in early May 2026, unlocking double-stack capacity on the Baltimore-to-Chicago corridor. Management had flagged an incremental volume opportunity of 75,000–125,000 additional loads over multiple sales cycles. </w:t>
      </w:r>
    </w:p>
    <w:p>
      <w:pPr>
        <w:pStyle w:val="ListBullet"/>
        <w:ind w:left="360" w:hanging="360"/>
      </w:pPr>
      <w:r>
        <w:rPr>
          <w:rFonts w:ascii="Calibri" w:hAnsi="Calibri"/>
          <w:b/>
          <w:color w:val="525866"/>
          <w:sz w:val="22"/>
        </w:rPr>
        <w:t xml:space="preserve">Implication: </w:t>
      </w:r>
      <w:r>
        <w:rPr>
          <w:rFonts w:ascii="Calibri" w:hAnsi="Calibri"/>
          <w:color w:val="525866"/>
          <w:sz w:val="22"/>
        </w:rPr>
        <w:t>New growth vector for intermodal; adds new service lanes (e.g., Atlanta to Northeast) that CSX could not efficiently serve before. Volume ramp will be gradual (multiple sales cycles) but the infrastructure is now operational heading into Q2.</w:t>
      </w:r>
    </w:p>
    <w:p>
      <w:pPr>
        <w:pStyle w:val="ListBullet"/>
        <w:ind w:left="360" w:hanging="360"/>
      </w:pPr>
      <w:r>
        <w:rPr>
          <w:rFonts w:ascii="Calibri" w:hAnsi="Calibri"/>
          <w:b/>
          <w:color w:val="525866"/>
          <w:sz w:val="22"/>
        </w:rPr>
        <w:t xml:space="preserve">June 22, 2026 — Q2 Earnings Date Announced: </w:t>
      </w:r>
      <w:r>
        <w:rPr>
          <w:rFonts w:ascii="Calibri" w:hAnsi="Calibri"/>
          <w:color w:val="525866"/>
          <w:sz w:val="22"/>
        </w:rPr>
        <w:t>CSX announced the date for Q2 2026 earnings release and call, confirming the reporting timeline.</w:t>
      </w:r>
    </w:p>
    <w:p>
      <w:pPr>
        <w:pStyle w:val="ListBullet"/>
        <w:ind w:left="360" w:hanging="360"/>
      </w:pPr>
      <w:r>
        <w:rPr>
          <w:rFonts w:ascii="Calibri" w:hAnsi="Calibri"/>
          <w:b/>
          <w:color w:val="525866"/>
          <w:sz w:val="22"/>
        </w:rPr>
        <w:t xml:space="preserve">April 22–May 2026 — Analyst/Media Commentary on Rail Sector: </w:t>
      </w:r>
      <w:r>
        <w:rPr>
          <w:rFonts w:ascii="Calibri" w:hAnsi="Calibri"/>
          <w:color w:val="525866"/>
          <w:sz w:val="22"/>
        </w:rPr>
        <w:t>Transport stocks including CSX, FedEx, and J.B. Hunt were highlighted in Barron's (April 24, 2026) as signaling resilient economic activity and fading recession risks, contributing to positive sector sentiment post-Q1 earnings.</w:t>
      </w:r>
    </w:p>
    <w:p>
      <w:pPr>
        <w:pStyle w:val="ListBullet"/>
        <w:ind w:left="360" w:hanging="360"/>
      </w:pPr>
      <w:r>
        <w:rPr>
          <w:rFonts w:ascii="Calibri" w:hAnsi="Calibri"/>
          <w:b/>
          <w:color w:val="525866"/>
          <w:sz w:val="22"/>
        </w:rPr>
        <w:t xml:space="preserve">Ongoing — Middle East Conflict / Energy Price Volatility: </w:t>
      </w:r>
      <w:r>
        <w:rPr>
          <w:rFonts w:ascii="Calibri" w:hAnsi="Calibri"/>
          <w:color w:val="525866"/>
          <w:sz w:val="22"/>
        </w:rPr>
        <w:t xml:space="preserve">Elevated diesel prices (UNP flagged &gt;$4/gallon in April) create a dual impact: higher fuel surcharge revenue (positive for top line) but higher fuel expense and OR pressure (negative for margin). CSX estimated net ~100 bps OR headwind from fuel for the rest of 2026. </w:t>
      </w:r>
    </w:p>
    <w:p>
      <w:pPr>
        <w:pStyle w:val="ListBullet"/>
        <w:ind w:left="360" w:hanging="360"/>
      </w:pPr>
      <w:r>
        <w:rPr>
          <w:rFonts w:ascii="Calibri" w:hAnsi="Calibri"/>
          <w:b/>
          <w:color w:val="525866"/>
          <w:sz w:val="22"/>
        </w:rPr>
        <w:t xml:space="preserve">Implication: </w:t>
      </w:r>
      <w:r>
        <w:rPr>
          <w:rFonts w:ascii="Calibri" w:hAnsi="Calibri"/>
          <w:color w:val="525866"/>
          <w:sz w:val="22"/>
        </w:rPr>
        <w:t>The Middle East conflict is also opening export thermal coal markets (NSC, CNI commentary), which could provide an incremental RPU tailwind for CSX's coal segment in Q2.</w:t>
      </w:r>
    </w:p>
    <w:p>
      <w:pPr>
        <w:pStyle w:val="ListBullet"/>
        <w:ind w:left="360" w:hanging="360"/>
      </w:pPr>
      <w:r>
        <w:rPr>
          <w:rFonts w:ascii="Calibri" w:hAnsi="Calibri"/>
          <w:b/>
          <w:color w:val="525866"/>
          <w:sz w:val="22"/>
        </w:rPr>
        <w:t xml:space="preserve">Ongoing — Rail Industry Consolidation / M&amp;A Advisory Costs: </w:t>
      </w:r>
      <w:r>
        <w:rPr>
          <w:rFonts w:ascii="Calibri" w:hAnsi="Calibri"/>
          <w:color w:val="525866"/>
          <w:sz w:val="22"/>
        </w:rPr>
        <w:t xml:space="preserve">CSX management flagged advisory costs related to industry consolidation as a Q2 nonseasonal expense item. CEO Steve Angel described potential consolidation as a "long process" and emphasized CSX will enter any future situation "from a position of strength." </w:t>
      </w:r>
    </w:p>
    <w:p>
      <w:pPr>
        <w:pStyle w:val="ListBullet"/>
        <w:ind w:left="360" w:hanging="360"/>
      </w:pPr>
      <w:r>
        <w:rPr>
          <w:rFonts w:ascii="Calibri" w:hAnsi="Calibri"/>
          <w:b/>
          <w:color w:val="525866"/>
          <w:sz w:val="22"/>
        </w:rPr>
        <w:t xml:space="preserve">Implication: </w:t>
      </w:r>
      <w:r>
        <w:rPr>
          <w:rFonts w:ascii="Calibri" w:hAnsi="Calibri"/>
          <w:color w:val="525866"/>
          <w:sz w:val="22"/>
        </w:rPr>
        <w:t>M&amp;A advisory costs are a modest Q2 expense headwind but signal CSX is actively monitoring the competitive landscape. Any consolidation announcement in the sector would be a significant catalyst.</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The only open-market activity is CFO Kevin Boone's </w:t>
      </w:r>
      <w:r>
        <w:rPr>
          <w:rFonts w:ascii="Calibri" w:hAnsi="Calibri"/>
          <w:b/>
          <w:color w:val="525866"/>
          <w:sz w:val="22"/>
        </w:rPr>
        <w:t>discretionary sale of 136,708 shares on June 3</w:t>
      </w:r>
      <w:r>
        <w:rPr>
          <w:rFonts w:ascii="Calibri" w:hAnsi="Calibri"/>
          <w:color w:val="525866"/>
          <w:sz w:val="22"/>
        </w:rPr>
        <w:t xml:space="preserve"> (not under a 10b5-1 plan) — notable in size (~$6.3M) and timing (stock near post-earnings highs), though it may reflect personal liquidity needs; no open-market buys from any insider, and CEO Angel's transactions are routine deferred compensation plan accruals.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Boone, Kevin S.</w:t>
            </w:r>
          </w:p>
        </w:tc>
        <w:tc>
          <w:tcPr>
            <w:tcW w:type="dxa" w:w="1440"/>
          </w:tcPr>
          <w:p>
            <w:r>
              <w:rPr>
                <w:rFonts w:ascii="Calibri" w:hAnsi="Calibri"/>
                <w:sz w:val="22"/>
              </w:rPr>
              <w:t>EVP &amp; CFO</w:t>
            </w:r>
          </w:p>
        </w:tc>
        <w:tc>
          <w:tcPr>
            <w:tcW w:type="dxa" w:w="1440"/>
          </w:tcPr>
          <w:p>
            <w:r>
              <w:rPr>
                <w:rFonts w:ascii="Calibri" w:hAnsi="Calibri"/>
                <w:b/>
                <w:color w:val="E5484D"/>
                <w:sz w:val="22"/>
              </w:rPr>
              <w:t>Open Market Sale</w:t>
            </w:r>
          </w:p>
        </w:tc>
        <w:tc>
          <w:tcPr>
            <w:tcW w:type="dxa" w:w="1440"/>
          </w:tcPr>
          <w:p>
            <w:r>
              <w:rPr>
                <w:rFonts w:ascii="Calibri" w:hAnsi="Calibri"/>
                <w:sz w:val="22"/>
              </w:rPr>
              <w:t>136,708 shares (~$6.3M at ~$46.44)</w:t>
            </w:r>
          </w:p>
        </w:tc>
        <w:tc>
          <w:tcPr>
            <w:tcW w:type="dxa" w:w="1440"/>
          </w:tcPr>
          <w:p>
            <w:r>
              <w:rPr>
                <w:rFonts w:ascii="Calibri" w:hAnsi="Calibri"/>
                <w:sz w:val="22"/>
              </w:rPr>
              <w:t>Jun 3, 2026</w:t>
            </w:r>
          </w:p>
        </w:tc>
        <w:tc>
          <w:tcPr>
            <w:tcW w:type="dxa" w:w="1440"/>
          </w:tcPr>
          <w:p>
            <w:r>
              <w:rPr>
                <w:rFonts w:ascii="Calibri" w:hAnsi="Calibri"/>
                <w:sz w:val="22"/>
              </w:rPr>
              <w:t>Discretionary sale (NOT under 10b5-1 plan); executed via option exercise (M code) + same-day sale (S code); retains 208,622 shares post-transaction</w:t>
            </w:r>
          </w:p>
        </w:tc>
      </w:tr>
      <w:tr>
        <w:tc>
          <w:tcPr>
            <w:tcW w:type="dxa" w:w="1440"/>
          </w:tcPr>
          <w:p>
            <w:r>
              <w:rPr>
                <w:rFonts w:ascii="Calibri" w:hAnsi="Calibri"/>
                <w:sz w:val="22"/>
              </w:rPr>
              <w:t>Zillmer, John J.</w:t>
            </w:r>
          </w:p>
        </w:tc>
        <w:tc>
          <w:tcPr>
            <w:tcW w:type="dxa" w:w="1440"/>
          </w:tcPr>
          <w:p>
            <w:r>
              <w:rPr>
                <w:rFonts w:ascii="Calibri" w:hAnsi="Calibri"/>
                <w:sz w:val="22"/>
              </w:rPr>
              <w:t>Director</w:t>
            </w:r>
          </w:p>
        </w:tc>
        <w:tc>
          <w:tcPr>
            <w:tcW w:type="dxa" w:w="1440"/>
          </w:tcPr>
          <w:p>
            <w:r>
              <w:rPr>
                <w:rFonts w:ascii="Calibri" w:hAnsi="Calibri"/>
                <w:b/>
                <w:color w:val="E5484D"/>
                <w:sz w:val="22"/>
              </w:rPr>
              <w:t>Open Market Sale</w:t>
            </w:r>
          </w:p>
        </w:tc>
        <w:tc>
          <w:tcPr>
            <w:tcW w:type="dxa" w:w="1440"/>
          </w:tcPr>
          <w:p>
            <w:r>
              <w:rPr>
                <w:rFonts w:ascii="Calibri" w:hAnsi="Calibri"/>
                <w:sz w:val="22"/>
              </w:rPr>
              <w:t>10,000 shares (~$464K at ~$46.44)</w:t>
            </w:r>
          </w:p>
        </w:tc>
        <w:tc>
          <w:tcPr>
            <w:tcW w:type="dxa" w:w="1440"/>
          </w:tcPr>
          <w:p>
            <w:r>
              <w:rPr>
                <w:rFonts w:ascii="Calibri" w:hAnsi="Calibri"/>
                <w:sz w:val="22"/>
              </w:rPr>
              <w:t>Jun 3, 2026</w:t>
            </w:r>
          </w:p>
        </w:tc>
        <w:tc>
          <w:tcPr>
            <w:tcW w:type="dxa" w:w="1440"/>
          </w:tcPr>
          <w:p>
            <w:r>
              <w:rPr>
                <w:rFonts w:ascii="Calibri" w:hAnsi="Calibri"/>
                <w:sz w:val="22"/>
              </w:rPr>
              <w:t>Discretionary sale (NOT under 10b5-1 plan); retains 353,714 shares post-transaction; smaller in context of total holdings</w:t>
            </w:r>
          </w:p>
        </w:tc>
      </w:tr>
      <w:tr>
        <w:tc>
          <w:tcPr>
            <w:tcW w:type="dxa" w:w="1440"/>
          </w:tcPr>
          <w:p>
            <w:r>
              <w:rPr>
                <w:rFonts w:ascii="Calibri" w:hAnsi="Calibri"/>
                <w:sz w:val="22"/>
              </w:rPr>
              <w:t>Angel, Stephen F.</w:t>
            </w:r>
          </w:p>
        </w:tc>
        <w:tc>
          <w:tcPr>
            <w:tcW w:type="dxa" w:w="1440"/>
          </w:tcPr>
          <w:p>
            <w:r>
              <w:rPr>
                <w:rFonts w:ascii="Calibri" w:hAnsi="Calibri"/>
                <w:sz w:val="22"/>
              </w:rPr>
              <w:t>President &amp; CEO, Director</w:t>
            </w:r>
          </w:p>
        </w:tc>
        <w:tc>
          <w:tcPr>
            <w:tcW w:type="dxa" w:w="1440"/>
          </w:tcPr>
          <w:p>
            <w:r>
              <w:rPr>
                <w:rFonts w:ascii="Calibri" w:hAnsi="Calibri"/>
                <w:sz w:val="22"/>
              </w:rPr>
              <w:t>Deferred Comp Accrual (Phantom Stock)</w:t>
            </w:r>
          </w:p>
        </w:tc>
        <w:tc>
          <w:tcPr>
            <w:tcW w:type="dxa" w:w="1440"/>
          </w:tcPr>
          <w:p>
            <w:r>
              <w:rPr>
                <w:rFonts w:ascii="Calibri" w:hAnsi="Calibri"/>
                <w:sz w:val="22"/>
              </w:rPr>
              <w:t>200 units (May 1); 197 units (Jun 1); 187 units (Jul 1)</w:t>
            </w:r>
          </w:p>
        </w:tc>
        <w:tc>
          <w:tcPr>
            <w:tcW w:type="dxa" w:w="1440"/>
          </w:tcPr>
          <w:p>
            <w:r>
              <w:rPr>
                <w:rFonts w:ascii="Calibri" w:hAnsi="Calibri"/>
                <w:sz w:val="22"/>
              </w:rPr>
              <w:t>May–Jul 2026</w:t>
            </w:r>
          </w:p>
        </w:tc>
        <w:tc>
          <w:tcPr>
            <w:tcW w:type="dxa" w:w="1440"/>
          </w:tcPr>
          <w:p>
            <w:r>
              <w:rPr>
                <w:rFonts w:ascii="Calibri" w:hAnsi="Calibri"/>
                <w:sz w:val="22"/>
              </w:rPr>
              <w:t>Routine monthly accruals to CSX Executive Deferred Compensation Plan (indirect/phantom stock); not open-market transactions; no signal value</w:t>
            </w:r>
          </w:p>
        </w:tc>
      </w:tr>
      <w:tr>
        <w:tc>
          <w:tcPr>
            <w:tcW w:type="dxa" w:w="1440"/>
          </w:tcPr>
          <w:p>
            <w:r>
              <w:rPr>
                <w:rFonts w:ascii="Calibri" w:hAnsi="Calibri"/>
                <w:sz w:val="22"/>
              </w:rPr>
              <w:t>Whisler, J. Steven</w:t>
            </w:r>
          </w:p>
        </w:tc>
        <w:tc>
          <w:tcPr>
            <w:tcW w:type="dxa" w:w="1440"/>
          </w:tcPr>
          <w:p>
            <w:r>
              <w:rPr>
                <w:rFonts w:ascii="Calibri" w:hAnsi="Calibri"/>
                <w:sz w:val="22"/>
              </w:rPr>
              <w:t>Director</w:t>
            </w:r>
          </w:p>
        </w:tc>
        <w:tc>
          <w:tcPr>
            <w:tcW w:type="dxa" w:w="1440"/>
          </w:tcPr>
          <w:p>
            <w:r>
              <w:rPr>
                <w:rFonts w:ascii="Calibri" w:hAnsi="Calibri"/>
                <w:sz w:val="22"/>
              </w:rPr>
              <w:t>Director Deferred Comp Accrual</w:t>
            </w:r>
          </w:p>
        </w:tc>
        <w:tc>
          <w:tcPr>
            <w:tcW w:type="dxa" w:w="1440"/>
          </w:tcPr>
          <w:p>
            <w:r>
              <w:rPr>
                <w:rFonts w:ascii="Calibri" w:hAnsi="Calibri"/>
                <w:sz w:val="22"/>
              </w:rPr>
              <w:t>791 shares (Jun 15)</w:t>
            </w:r>
          </w:p>
        </w:tc>
        <w:tc>
          <w:tcPr>
            <w:tcW w:type="dxa" w:w="1440"/>
          </w:tcPr>
          <w:p>
            <w:r>
              <w:rPr>
                <w:rFonts w:ascii="Calibri" w:hAnsi="Calibri"/>
                <w:sz w:val="22"/>
              </w:rPr>
              <w:t>Jun 15, 2026</w:t>
            </w:r>
          </w:p>
        </w:tc>
        <w:tc>
          <w:tcPr>
            <w:tcW w:type="dxa" w:w="1440"/>
          </w:tcPr>
          <w:p>
            <w:r>
              <w:rPr>
                <w:rFonts w:ascii="Calibri" w:hAnsi="Calibri"/>
                <w:sz w:val="22"/>
              </w:rPr>
              <w:t>Routine accrual to CSX Corporation Directors Deferred Compensation Plan (indirect); not an open-market transaction; no signal value</w:t>
            </w:r>
          </w:p>
        </w:tc>
      </w:tr>
    </w:tbl>
    <w:p>
      <w:r>
        <w:rPr>
          <w:rFonts w:ascii="Calibri" w:hAnsi="Calibri"/>
          <w:b/>
          <w:color w:val="525866"/>
          <w:sz w:val="22"/>
        </w:rPr>
        <w:t xml:space="preserve">Assessment: </w:t>
      </w:r>
      <w:r>
        <w:rPr>
          <w:rFonts w:ascii="Calibri" w:hAnsi="Calibri"/>
          <w:color w:val="525866"/>
          <w:sz w:val="22"/>
        </w:rPr>
        <w:t>The CFO's June 3 sale is the only transaction worth flagging. At 136,708 shares (~$6.3M), it is large in absolute terms but represents a reduction from a larger option exercise on the same day — a common "exercise and sell" pattern to cover option costs and taxes. The absence of a 10b5-1 plan designation is notable, but the CFO retains 208,622 shares (a substantial position), limiting the bearish read. No open-market buys from any insider since Q1 earnings. The overall picture is neutral-to-slightly-cautious: no insider conviction buying into the rally, but no alarming cluster of discretionary sales either.</w:t>
      </w:r>
    </w:p>
    <w:p>
      <w:r>
        <w:rPr>
          <w:rFonts w:ascii="Calibri" w:hAnsi="Calibri"/>
          <w:i/>
          <w:color w:val="525866"/>
          <w:sz w:val="22"/>
        </w:rPr>
        <w:t>Source: SEC Form 4 Filings Database (Insider Transaction Data). Window: April 22, 2026 – July 21,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