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DECK before writing the preview. Let me gather recent earnings, filings, news, and price data.Let me read the most recent earnings materials and the year-ago Q1 for comparison.Let me get recent news and analyst expectations via web search.I have what I need. Let me write the preview.</w:t>
      </w:r>
    </w:p>
    <w:bookmarkStart w:id="18" w:name="deckers-brands-deck--earnings-preview"/>
    <w:p>
      <w:pPr>
        <w:pStyle w:val="Heading1"/>
      </w:pPr>
      <w:r>
        <w:t xml:space="preserve">Deckers Brands (DECK) — Earnings Preview</w:t>
      </w:r>
    </w:p>
    <w:bookmarkStart w:id="9" w:name="Xfc2e2529e0b742b41aa8612df72ced9dedea6d3"/>
    <w:p>
      <w:pPr>
        <w:pStyle w:val="Heading3"/>
      </w:pPr>
      <w:r>
        <w:t xml:space="preserve">Fiscal Q1 2027 (quarter ended June 30, 2026) · Reports after the close Wednesday, July 23, 2026</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a "growth is fine, margins are the story" quarter. Management has already told investors that Q1 will show</w:t>
      </w:r>
      <w:r>
        <w:t xml:space="preserve"> </w:t>
      </w:r>
      <w:r>
        <w:rPr>
          <w:b/>
          <w:bCs/>
        </w:rPr>
        <w:t xml:space="preserve">revenue up but EPS down year-over-year</w:t>
      </w:r>
      <w:r>
        <w:t xml:space="preserve"> </w:t>
      </w:r>
      <w:r>
        <w:t xml:space="preserve">— an unusual combination for DECK — driven by tariff wraparound, freight, input-cost inflation, and a deliberate step-up in spending. The bigger questions are whether HOKA's U.S. momentum and lifestyle push are holding, whether UGG's 365/spring-summer strategy is still working, and whether management nudges the full-year framework.</w:t>
      </w:r>
    </w:p>
    <w:p>
      <w:r>
        <w:pict>
          <v:rect style="width:0;height:1.5pt" o:hralign="center" o:hrstd="t" o:hr="t"/>
        </w:pict>
      </w:r>
    </w:p>
    <w:bookmarkEnd w:id="10"/>
    <w:bookmarkStart w:id="11" w:name="what-management-guided-for-the-quarter"/>
    <w:p>
      <w:pPr>
        <w:pStyle w:val="Heading2"/>
      </w:pPr>
      <w:r>
        <w:t xml:space="preserve">What management guided for the quarter</w:t>
      </w:r>
    </w:p>
    <w:p>
      <w:pPr>
        <w:pStyle w:val="FirstParagraph"/>
      </w:pPr>
      <w:r>
        <w:t xml:space="preserve">On the Q4 call, CFO Steve Fasching gave unusually specific Q1 color (he normally doesn't guide the quarter out):</w:t>
      </w:r>
    </w:p>
    <w:p>
      <w:pPr>
        <w:pStyle w:val="Compact"/>
        <w:numPr>
          <w:ilvl w:val="0"/>
          <w:numId w:val="1001"/>
        </w:numPr>
      </w:pPr>
      <w:r>
        <w:t xml:space="preserve">Consolidated revenue up approximately 5% to deliver the first ever $1 billion quarter ending June 30, with HOKA up high single digits, primarily from DTC growth.</w:t>
      </w:r>
    </w:p>
    <w:p>
      <w:pPr>
        <w:pStyle w:val="Compact"/>
        <w:numPr>
          <w:ilvl w:val="0"/>
          <w:numId w:val="1001"/>
        </w:numPr>
      </w:pPr>
      <w:r>
        <w:t xml:space="preserve">UGG is expected to grow mid-single digits, aligned with the full year guide.</w:t>
      </w:r>
    </w:p>
    <w:p>
      <w:pPr>
        <w:pStyle w:val="Compact"/>
        <w:numPr>
          <w:ilvl w:val="0"/>
          <w:numId w:val="1001"/>
        </w:numPr>
      </w:pPr>
      <w:r>
        <w:t xml:space="preserve">Gross margin is expected to be down versus last year, primarily due to the wraparound net impact of higher tariffs on U.S. goods with slight positive offsets from favorable channel mix and currency. SG&amp;A is expected to grow about double the rate of revenue in the quarter, reflecting marketing investments, lapping favorable timing elements in the prior year including FX remeasurement and annualization of new hires, with EPS expected to be in the range of $0.82 to $0.87.</w:t>
      </w:r>
    </w:p>
    <w:p>
      <w:pPr>
        <w:pStyle w:val="FirstParagraph"/>
      </w:pPr>
      <w:r>
        <w:rPr>
          <w:b/>
          <w:bCs/>
        </w:rPr>
        <w:t xml:space="preserve">Key takeaway:</w:t>
      </w:r>
      <w:r>
        <w:t xml:space="preserve"> </w:t>
      </w:r>
      <w:r>
        <w:t xml:space="preserve">the</w:t>
      </w:r>
      <w:r>
        <w:t xml:space="preserve"> </w:t>
      </w:r>
      <m:oMath>
        <m:r>
          <m:t>0.82</m:t>
        </m:r>
        <m:r>
          <m:rPr>
            <m:sty m:val="p"/>
          </m:rPr>
          <m:t>–</m:t>
        </m:r>
      </m:oMath>
      <w:r>
        <w:t xml:space="preserve">0.87 EPS guide is</w:t>
      </w:r>
      <w:r>
        <w:t xml:space="preserve"> </w:t>
      </w:r>
      <w:r>
        <w:rPr>
          <w:i/>
          <w:iCs/>
        </w:rPr>
        <w:t xml:space="preserve">down</w:t>
      </w:r>
      <w:r>
        <w:t xml:space="preserve"> </w:t>
      </w:r>
      <w:r>
        <w:t xml:space="preserve">from</w:t>
      </w:r>
      <w:r>
        <w:t xml:space="preserve"> </w:t>
      </w:r>
      <w:r>
        <w:rPr>
          <w:b/>
          <w:bCs/>
        </w:rPr>
        <w:t xml:space="preserve">$0.93</w:t>
      </w:r>
      <w:r>
        <w:t xml:space="preserve"> </w:t>
      </w:r>
      <w:r>
        <w:t xml:space="preserve">a year ago, even as revenue grows. This is by design — a margin/investment air-pocket, not a demand problem, per management.</w:t>
      </w:r>
    </w:p>
    <w:bookmarkEnd w:id="11"/>
    <w:bookmarkStart w:id="12" w:name="what-the-street-expects"/>
    <w:p>
      <w:pPr>
        <w:pStyle w:val="Heading2"/>
      </w:pPr>
      <w:r>
        <w:t xml:space="preserve">What the Street expects</w:t>
      </w:r>
    </w:p>
    <w:p>
      <w:pPr>
        <w:pStyle w:val="FirstParagraph"/>
      </w:pPr>
      <w:r>
        <w:t xml:space="preserve">Consensus sits at roughly</w:t>
      </w:r>
      <w:r>
        <w:t xml:space="preserve"> </w:t>
      </w:r>
      <m:oMath>
        <m:r>
          <m:t>1.02</m:t>
        </m:r>
        <m:r>
          <m:t>B</m:t>
        </m:r>
        <m:r>
          <m:t>r</m:t>
        </m:r>
        <m:r>
          <m:t>e</m:t>
        </m:r>
        <m:r>
          <m:t>v</m:t>
        </m:r>
        <m:r>
          <m:t>e</m:t>
        </m:r>
        <m:r>
          <m:t>n</m:t>
        </m:r>
        <m:r>
          <m:t>u</m:t>
        </m:r>
        <m:r>
          <m:t>e</m:t>
        </m:r>
        <m:r>
          <m:t>a</m:t>
        </m:r>
        <m:r>
          <m:t>n</m:t>
        </m:r>
        <m:r>
          <m:t>d</m:t>
        </m:r>
        <m:r>
          <m:t> </m:t>
        </m:r>
      </m:oMath>
      <w:r>
        <w:rPr>
          <w:b/>
          <w:bCs/>
        </w:rPr>
        <w:t xml:space="preserve">0.88 EPS</w:t>
      </w:r>
      <w:r>
        <w:t xml:space="preserve"> </w:t>
      </w:r>
      <w:r>
        <w:t xml:space="preserve">— i.e., revenue modestly above the company's implied ~$1.01B and EPS at/above the top of the guide, but reflecting a year-over-year decline, with Hoka expected to be a key growth driver. Given DECK's long history of conservative guides that it beats, the bar is effectively "meet the low guide, and reassure on the full year."</w:t>
      </w:r>
    </w:p>
    <w:p>
      <w:r>
        <w:pict>
          <v:rect style="width:0;height:1.5pt" o:hralign="center" o:hrstd="t" o:hr="t"/>
        </w:pict>
      </w:r>
    </w:p>
    <w:bookmarkEnd w:id="12"/>
    <w:bookmarkStart w:id="13" w:name="X2c6aa16b66ab536cac9ee0748bab2626c6c1521"/>
    <w:p>
      <w:pPr>
        <w:pStyle w:val="Heading2"/>
      </w:pPr>
      <w:r>
        <w:t xml:space="preserve">The wholesale-timing landmine (read this before reacting to the print)</w:t>
      </w:r>
    </w:p>
    <w:p>
      <w:pPr>
        <w:pStyle w:val="FirstParagraph"/>
      </w:pPr>
      <w:r>
        <w:t xml:space="preserve">Q1 HOKA growth of "high single digits" is</w:t>
      </w:r>
      <w:r>
        <w:t xml:space="preserve"> </w:t>
      </w:r>
      <w:r>
        <w:rPr>
          <w:b/>
          <w:bCs/>
        </w:rPr>
        <w:t xml:space="preserve">not representative of the underlying trend</w:t>
      </w:r>
      <w:r>
        <w:t xml:space="preserve"> </w:t>
      </w:r>
      <w:r>
        <w:t xml:space="preserve">and could look optically soft. Management flagged three distortions:</w:t>
      </w:r>
    </w:p>
    <w:p>
      <w:pPr>
        <w:pStyle w:val="Compact"/>
        <w:numPr>
          <w:ilvl w:val="0"/>
          <w:numId w:val="1002"/>
        </w:numPr>
      </w:pPr>
      <w:r>
        <w:t xml:space="preserve">Last year's earlier shipments related to the EMEA warehouse transition.</w:t>
      </w:r>
    </w:p>
    <w:p>
      <w:pPr>
        <w:pStyle w:val="Compact"/>
        <w:numPr>
          <w:ilvl w:val="0"/>
          <w:numId w:val="1002"/>
        </w:numPr>
      </w:pPr>
      <w:r>
        <w:t xml:space="preserve">Delayed distributor shipments in APAC moving out of this quarter.</w:t>
      </w:r>
    </w:p>
    <w:p>
      <w:pPr>
        <w:pStyle w:val="Compact"/>
        <w:numPr>
          <w:ilvl w:val="0"/>
          <w:numId w:val="1002"/>
        </w:numPr>
      </w:pPr>
      <w:r>
        <w:t xml:space="preserve">Reduced shipments of the outgoing Clifton model leading up to the July Clifton launch.</w:t>
      </w:r>
    </w:p>
    <w:p>
      <w:pPr>
        <w:pStyle w:val="FirstParagraph"/>
      </w:pPr>
      <w:r>
        <w:t xml:space="preserve">Stefano reinforced that the wholesale ship timing in Q1 also reflects setting up a clear marketplace for the launch of Clifton later in July. Fasching stressed it is not an indication of a change in business — extremely confident, good trends across the globe.</w:t>
      </w:r>
      <w:r>
        <w:t xml:space="preserve"> </w:t>
      </w:r>
      <w:r>
        <w:rPr>
          <w:b/>
          <w:bCs/>
        </w:rPr>
        <w:t xml:space="preserve">Don't extrapolate the HOKA Q1 growth rate.</w:t>
      </w:r>
    </w:p>
    <w:p>
      <w:r>
        <w:pict>
          <v:rect style="width:0;height:1.5pt" o:hralign="center" o:hrstd="t" o:hr="t"/>
        </w:pict>
      </w:r>
    </w:p>
    <w:bookmarkEnd w:id="13"/>
    <w:bookmarkStart w:id="14" w:name="X99e014f9e95a5fccf93b06661fdc582e50c1e9e"/>
    <w:p>
      <w:pPr>
        <w:pStyle w:val="Heading2"/>
      </w:pPr>
      <w:r>
        <w:t xml:space="preserve">The full-year FY27 framework (what a guidance revision would be measured against)</w:t>
      </w:r>
    </w:p>
    <w:p>
      <w:pPr>
        <w:pStyle w:val="Compact"/>
        <w:numPr>
          <w:ilvl w:val="0"/>
          <w:numId w:val="1003"/>
        </w:numPr>
      </w:pPr>
      <w:r>
        <w:t xml:space="preserve">Revenue</w:t>
      </w:r>
      <w:r>
        <w:t xml:space="preserve"> </w:t>
      </w:r>
      <m:oMath>
        <m:r>
          <m:t>5.86</m:t>
        </m:r>
        <m:r>
          <m:t>B</m:t>
        </m:r>
        <m:r>
          <m:rPr>
            <m:sty m:val="p"/>
          </m:rPr>
          <m:t>–</m:t>
        </m:r>
      </m:oMath>
      <w:r>
        <w:rPr>
          <w:b/>
          <w:bCs/>
        </w:rPr>
        <w:t xml:space="preserve">5.91B</w:t>
      </w:r>
      <w:r>
        <w:t xml:space="preserve"> </w:t>
      </w:r>
      <w:r>
        <w:t xml:space="preserve">(high-single-digit growth), with HOKA increasing low double digits (higher DTC growth than wholesale) and UGG increasing mid-single digits with balanced growth across channels.</w:t>
      </w:r>
    </w:p>
    <w:p>
      <w:pPr>
        <w:pStyle w:val="Compact"/>
        <w:numPr>
          <w:ilvl w:val="0"/>
          <w:numId w:val="1003"/>
        </w:numPr>
      </w:pPr>
      <w:r>
        <w:t xml:space="preserve">Gross margin ~56.5%, down versus last year, primarily due to higher freight costs from rising transportation costs and shipping disruption related to the ongoing Middle East conflict, and increased input costs related to material upgrades and inflationary pressures.</w:t>
      </w:r>
    </w:p>
    <w:p>
      <w:pPr>
        <w:pStyle w:val="Compact"/>
        <w:numPr>
          <w:ilvl w:val="0"/>
          <w:numId w:val="1003"/>
        </w:numPr>
      </w:pPr>
      <w:r>
        <w:t xml:space="preserve">SG&amp;A ~35% of revenue; operating margin ~21.5%; effective tax rate ~23%; diluted EPS</w:t>
      </w:r>
      <w:r>
        <w:t xml:space="preserve"> </w:t>
      </w:r>
      <m:oMath>
        <m:r>
          <m:t>7.30</m:t>
        </m:r>
        <m:r>
          <m:rPr>
            <m:sty m:val="p"/>
          </m:rPr>
          <m:t>–</m:t>
        </m:r>
      </m:oMath>
      <w:r>
        <w:t xml:space="preserve">7.45, including repurchasing at least 80% of free cash flow.</w:t>
      </w:r>
    </w:p>
    <w:p>
      <w:pPr>
        <w:pStyle w:val="FirstParagraph"/>
      </w:pPr>
      <w:r>
        <w:t xml:space="preserve">For context, FY26 delivered record revenue of $5.47 billion, up 10%, gross margin of 57.7%, operating margin of 23.1%, and record diluted EPS of $7.02, up 11%. So FY27 embeds</w:t>
      </w:r>
      <w:r>
        <w:t xml:space="preserve"> </w:t>
      </w:r>
      <w:r>
        <w:rPr>
          <w:b/>
          <w:bCs/>
        </w:rPr>
        <w:t xml:space="preserve">decelerating growth and margin compression</w:t>
      </w:r>
      <w:r>
        <w:t xml:space="preserve"> </w:t>
      </w:r>
      <w:r>
        <w:t xml:space="preserve">— the setup is deliberately reset lower, which historically leaves room for beats.</w:t>
      </w:r>
    </w:p>
    <w:p>
      <w:pPr>
        <w:pStyle w:val="BodyText"/>
      </w:pPr>
      <w:r>
        <w:rPr>
          <w:b/>
          <w:bCs/>
        </w:rPr>
        <w:t xml:space="preserve">Watch for:</w:t>
      </w:r>
      <w:r>
        <w:t xml:space="preserve"> </w:t>
      </w:r>
      <w:r>
        <w:t xml:space="preserve">any raise to the FY27 revenue/EPS range, or commentary on whether the H1 margin drag improves in H2.</w:t>
      </w:r>
    </w:p>
    <w:p>
      <w:r>
        <w:pict>
          <v:rect style="width:0;height:1.5pt" o:hralign="center" o:hrstd="t" o:hr="t"/>
        </w:pict>
      </w:r>
    </w:p>
    <w:bookmarkEnd w:id="14"/>
    <w:bookmarkStart w:id="15" w:name="five-things-that-actually-move-the-stock"/>
    <w:p>
      <w:pPr>
        <w:pStyle w:val="Heading2"/>
      </w:pPr>
      <w:r>
        <w:t xml:space="preserve">Five things that actually move the stock</w:t>
      </w:r>
    </w:p>
    <w:p>
      <w:pPr>
        <w:pStyle w:val="FirstParagraph"/>
      </w:pPr>
      <w:r>
        <w:rPr>
          <w:b/>
          <w:bCs/>
        </w:rPr>
        <w:t xml:space="preserve">1. HOKA U.S. DTC + lifestyle.</w:t>
      </w:r>
      <w:r>
        <w:t xml:space="preserve"> </w:t>
      </w:r>
      <w:r>
        <w:t xml:space="preserve">The U.S. DTC recovery was the bull case exiting FY26. HOKA U.S. awareness is now ~60%, up from ~50% a year ago; international awareness ~40%, up from ~30%. Watch for confirmation that lifestyle "green shoots" are broadening — Mafate Speed 2 and Bondi 7 leading the charge — and the early read on the</w:t>
      </w:r>
      <w:r>
        <w:t xml:space="preserve"> </w:t>
      </w:r>
      <w:r>
        <w:rPr>
          <w:b/>
          <w:bCs/>
        </w:rPr>
        <w:t xml:space="preserve">Clifton 11 / Clifton Pro</w:t>
      </w:r>
      <w:r>
        <w:t xml:space="preserve"> </w:t>
      </w:r>
      <w:r>
        <w:t xml:space="preserve">July launch, which is central to the low-double-digit HOKA algorithm.</w:t>
      </w:r>
    </w:p>
    <w:p>
      <w:pPr>
        <w:pStyle w:val="BodyText"/>
      </w:pPr>
      <w:r>
        <w:rPr>
          <w:b/>
          <w:bCs/>
        </w:rPr>
        <w:t xml:space="preserve">2. UGG's 365 / spring-summer diversification.</w:t>
      </w:r>
      <w:r>
        <w:t xml:space="preserve"> </w:t>
      </w:r>
      <w:r>
        <w:t xml:space="preserve">The key debate is whether UGG can grow beyond winter boots. Sneakers and sandals — the Lowmel franchise and Golden collection — accounted for more than half of the brand's growth in FY26, and men's styles accounted for more than 20% of global growth. A June quarter is disproportionately a spring/summer test for UGG — this is the cleanest look at the 365 strategy.</w:t>
      </w:r>
    </w:p>
    <w:p>
      <w:pPr>
        <w:pStyle w:val="BodyText"/>
      </w:pPr>
      <w:r>
        <w:rPr>
          <w:b/>
          <w:bCs/>
        </w:rPr>
        <w:t xml:space="preserve">3. Gross margin &amp; tariffs.</w:t>
      </w:r>
      <w:r>
        <w:t xml:space="preserve"> </w:t>
      </w:r>
      <w:r>
        <w:t xml:space="preserve">Tariffs are the swing factor. Management assumes the current 10% tariff rate remaining in effect for the year, with inventory sold in the first half at higher IEEPA rates already paid. Importantly, the gross amount paid under IEEPA was around $120 million, and the company is pursuing government refunds not included in guidance — a potential upside catalyst if refunds materialize.</w:t>
      </w:r>
    </w:p>
    <w:p>
      <w:pPr>
        <w:pStyle w:val="BodyText"/>
      </w:pPr>
      <w:r>
        <w:rPr>
          <w:b/>
          <w:bCs/>
        </w:rPr>
        <w:t xml:space="preserve">4. Inventory &amp; full-price selling health.</w:t>
      </w:r>
      <w:r>
        <w:t xml:space="preserve"> </w:t>
      </w:r>
      <w:r>
        <w:t xml:space="preserve">DECK's model runs on scarcity. FY26 ended with inventory of $487 million, down 2% versus last year, which supports full-price sell-through and reorders. Watch that inventory stays lean into fall — bloated inventory would signal demand softening. Note the Q1 (June) balance sheet always shows a big seasonal inventory build ahead of the fall/holiday season.</w:t>
      </w:r>
    </w:p>
    <w:p>
      <w:pPr>
        <w:pStyle w:val="BodyText"/>
      </w:pPr>
      <w:r>
        <w:rPr>
          <w:b/>
          <w:bCs/>
        </w:rPr>
        <w:t xml:space="preserve">5. Capital return.</w:t>
      </w:r>
      <w:r>
        <w:t xml:space="preserve"> </w:t>
      </w:r>
      <w:r>
        <w:t xml:space="preserve">In FY26 the company repurchased $1.075 billion of shares at an average $102.43 and announced a new buyback authorization. With the stock now trading near that average repurchase price, the pace of buyback matters for EPS support.</w:t>
      </w:r>
    </w:p>
    <w:p>
      <w:r>
        <w:pict>
          <v:rect style="width:0;height:1.5pt" o:hralign="center" o:hrstd="t" o:hr="t"/>
        </w:pict>
      </w:r>
    </w:p>
    <w:bookmarkEnd w:id="15"/>
    <w:bookmarkStart w:id="16" w:name="stock-context--sentiment"/>
    <w:p>
      <w:pPr>
        <w:pStyle w:val="Heading2"/>
      </w:pPr>
      <w:r>
        <w:t xml:space="preserve">Stock context &amp; sentiment</w:t>
      </w:r>
    </w:p>
    <w:p>
      <w:pPr>
        <w:pStyle w:val="Compact"/>
        <w:numPr>
          <w:ilvl w:val="0"/>
          <w:numId w:val="1004"/>
        </w:numPr>
      </w:pPr>
      <w:r>
        <w:t xml:space="preserve">DECK closed</w:t>
      </w:r>
      <w:r>
        <w:t xml:space="preserve"> </w:t>
      </w:r>
      <w:r>
        <w:rPr>
          <w:b/>
          <w:bCs/>
        </w:rPr>
        <w:t xml:space="preserve">~$102.5 on July 22, 2026</w:t>
      </w:r>
      <w:r>
        <w:t xml:space="preserve">, roughly flat over the past 12 months and well off its early-2026 highs near</w:t>
      </w:r>
      <w:r>
        <w:t xml:space="preserve"> </w:t>
      </w:r>
      <m:oMath>
        <m:r>
          <m:t>124</m:t>
        </m:r>
        <m:r>
          <m:rPr>
            <m:sty m:val="p"/>
          </m:rPr>
          <m:t>.</m:t>
        </m:r>
        <m:r>
          <m:t>I</m:t>
        </m:r>
        <m:r>
          <m:t>t</m:t>
        </m:r>
        <m:r>
          <m:t>h</m:t>
        </m:r>
        <m:r>
          <m:t>a</m:t>
        </m:r>
        <m:r>
          <m:t>s</m:t>
        </m:r>
        <m:r>
          <m:t>b</m:t>
        </m:r>
        <m:r>
          <m:t>e</m:t>
        </m:r>
        <m:r>
          <m:t>e</m:t>
        </m:r>
        <m:r>
          <m:t>n</m:t>
        </m:r>
        <m:r>
          <m:t>a</m:t>
        </m:r>
        <m:r>
          <m:rPr>
            <m:sty m:val="p"/>
          </m:rPr>
          <m:t>*</m:t>
        </m:r>
        <m:r>
          <m:rPr>
            <m:sty m:val="p"/>
          </m:rPr>
          <m:t>*</m:t>
        </m:r>
        <m:r>
          <m:t>h</m:t>
        </m:r>
        <m:r>
          <m:t>i</m:t>
        </m:r>
        <m:r>
          <m:t>g</m:t>
        </m:r>
        <m:r>
          <m:t>h</m:t>
        </m:r>
        <m:r>
          <m:rPr>
            <m:sty m:val="p"/>
          </m:rPr>
          <m:t>−</m:t>
        </m:r>
        <m:r>
          <m:t>b</m:t>
        </m:r>
        <m:r>
          <m:t>e</m:t>
        </m:r>
        <m:r>
          <m:t>t</m:t>
        </m:r>
        <m:r>
          <m:t>a</m:t>
        </m:r>
        <m:r>
          <m:rPr>
            <m:sty m:val="p"/>
          </m:rPr>
          <m:t>,</m:t>
        </m:r>
        <m:r>
          <m:t>g</m:t>
        </m:r>
        <m:r>
          <m:t>a</m:t>
        </m:r>
        <m:r>
          <m:t>p</m:t>
        </m:r>
        <m:r>
          <m:rPr>
            <m:sty m:val="p"/>
          </m:rPr>
          <m:t>−</m:t>
        </m:r>
        <m:r>
          <m:t>p</m:t>
        </m:r>
        <m:r>
          <m:t>r</m:t>
        </m:r>
        <m:r>
          <m:t>o</m:t>
        </m:r>
        <m:r>
          <m:t>n</m:t>
        </m:r>
        <m:r>
          <m:t>e</m:t>
        </m:r>
        <m:r>
          <m:t>e</m:t>
        </m:r>
        <m:r>
          <m:t>a</m:t>
        </m:r>
        <m:r>
          <m:t>r</m:t>
        </m:r>
        <m:r>
          <m:t>n</m:t>
        </m:r>
        <m:r>
          <m:t>i</m:t>
        </m:r>
        <m:r>
          <m:t>n</m:t>
        </m:r>
        <m:r>
          <m:t>g</m:t>
        </m:r>
        <m:r>
          <m:t>s</m:t>
        </m:r>
        <m:r>
          <m:t>s</m:t>
        </m:r>
        <m:r>
          <m:t>t</m:t>
        </m:r>
        <m:r>
          <m:t>o</m:t>
        </m:r>
        <m:r>
          <m:t>c</m:t>
        </m:r>
        <m:r>
          <m:t>k</m:t>
        </m:r>
        <m:r>
          <m:rPr>
            <m:sty m:val="p"/>
          </m:rPr>
          <m:t>*</m:t>
        </m:r>
        <m:r>
          <m:rPr>
            <m:sty m:val="p"/>
          </m:rPr>
          <m:t>*</m:t>
        </m:r>
        <m:r>
          <m:rPr>
            <m:sty m:val="p"/>
          </m:rPr>
          <m:t>:</m:t>
        </m:r>
        <m:r>
          <m:t>i</m:t>
        </m:r>
        <m:r>
          <m:t>t</m:t>
        </m:r>
        <m:r>
          <m:t>f</m:t>
        </m:r>
        <m:r>
          <m:t>e</m:t>
        </m:r>
        <m:r>
          <m:t>l</m:t>
        </m:r>
        <m:r>
          <m:t>l</m:t>
        </m:r>
        <m:r>
          <m:t> </m:t>
        </m:r>
        <m:r>
          <m:t>15</m:t>
        </m:r>
      </m:oMath>
      <w:r>
        <w:t xml:space="preserve">79 low) then gapped ~19% higher after Q3 (late Jan 2026). Expect an outsized move.</w:t>
      </w:r>
    </w:p>
    <w:p>
      <w:pPr>
        <w:pStyle w:val="Compact"/>
        <w:numPr>
          <w:ilvl w:val="0"/>
          <w:numId w:val="1004"/>
        </w:numPr>
      </w:pPr>
      <w:r>
        <w:t xml:space="preserve">Sentiment is constructive but not euphoric: 26 analysts rate DECK on average a "Buy," with a 12-month price target around $127, and Argus turned bullish in February on UGG/HOKA growth, higher margins and attractive valuation.</w:t>
      </w:r>
    </w:p>
    <w:p>
      <w:pPr>
        <w:pStyle w:val="Compact"/>
        <w:numPr>
          <w:ilvl w:val="0"/>
          <w:numId w:val="1004"/>
        </w:numPr>
      </w:pPr>
      <w:r>
        <w:t xml:space="preserve">Relative context: HOKA competes in running against ON (ONON) and Nike (NKE); NKE shares have been weak (~</w:t>
      </w:r>
      <m:oMath>
        <m:r>
          <m:t>42</m:t>
        </m:r>
        <m:r>
          <m:rPr>
            <m:sty m:val="p"/>
          </m:rPr>
          <m:t>)</m:t>
        </m:r>
        <m:r>
          <m:t>w</m:t>
        </m:r>
        <m:r>
          <m:t>h</m:t>
        </m:r>
        <m:r>
          <m:t>i</m:t>
        </m:r>
        <m:r>
          <m:t>l</m:t>
        </m:r>
        <m:r>
          <m:t>e</m:t>
        </m:r>
        <m:r>
          <m:t>O</m:t>
        </m:r>
        <m:r>
          <m:t>N</m:t>
        </m:r>
        <m:r>
          <m:t>O</m:t>
        </m:r>
        <m:r>
          <m:t>N</m:t>
        </m:r>
        <m:r>
          <m:t>h</m:t>
        </m:r>
        <m:r>
          <m:t>a</m:t>
        </m:r>
        <m:r>
          <m:t>s</m:t>
        </m:r>
        <m:r>
          <m:t>t</m:t>
        </m:r>
        <m:r>
          <m:t>r</m:t>
        </m:r>
        <m:r>
          <m:t>a</m:t>
        </m:r>
        <m:r>
          <m:t>d</m:t>
        </m:r>
        <m:r>
          <m:t>e</m:t>
        </m:r>
        <m:r>
          <m:t>d</m:t>
        </m:r>
        <m:r>
          <m:t>i</m:t>
        </m:r>
        <m:r>
          <m:t>n</m:t>
        </m:r>
        <m:r>
          <m:t>t</m:t>
        </m:r>
        <m:r>
          <m:t>h</m:t>
        </m:r>
        <m:r>
          <m:t>e</m:t>
        </m:r>
        <m:r>
          <m:t>h</m:t>
        </m:r>
        <m:r>
          <m:t>i</m:t>
        </m:r>
        <m:r>
          <m:t>g</m:t>
        </m:r>
        <m:r>
          <m:t>h</m:t>
        </m:r>
        <m:r>
          <m:rPr>
            <m:sty m:val="p"/>
          </m:rPr>
          <m:t>−</m:t>
        </m:r>
      </m:oMath>
      <w:r>
        <w:t xml:space="preserve">30s — the performance-running category read-through is a subplot.</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Consensus (~</w:t>
      </w:r>
      <m:oMath>
        <m:r>
          <m:t>1.02</m:t>
        </m:r>
        <m:r>
          <m:t>B</m:t>
        </m:r>
        <m:r>
          <m:rPr>
            <m:sty m:val="p"/>
          </m:rPr>
          <m:t>/</m:t>
        </m:r>
        <m:r>
          <m:t> </m:t>
        </m:r>
      </m:oMath>
      <w:r>
        <w:t xml:space="preserve">0.88) already embeds a</w:t>
      </w:r>
      <w:r>
        <w:t xml:space="preserve"> </w:t>
      </w:r>
      <w:r>
        <w:rPr>
          <w:b/>
          <w:bCs/>
        </w:rPr>
        <w:t xml:space="preserve">YoY EPS decline</w:t>
      </w:r>
      <w:r>
        <w:t xml:space="preserve">, and management has pre-warned on Q1 margins and messy wholesale-shipment timing — so a modest revenue beat with an in-line/soft EPS is the base case and shouldn't itself be read as a negative. The stock's reaction will hinge on the</w:t>
      </w:r>
      <w:r>
        <w:t xml:space="preserve"> </w:t>
      </w:r>
      <w:r>
        <w:rPr>
          <w:b/>
          <w:bCs/>
        </w:rPr>
        <w:t xml:space="preserve">qualitative signals</w:t>
      </w:r>
      <w:r>
        <w:t xml:space="preserve">: HOKA U.S./lifestyle traction and the Clifton launch reception, UGG's spring-summer/365 and men's momentum, the gross-margin/tariff trajectory (plus any refund optimism), inventory discipline, and — most of all — whether management</w:t>
      </w:r>
      <w:r>
        <w:t xml:space="preserve"> </w:t>
      </w:r>
      <w:r>
        <w:rPr>
          <w:b/>
          <w:bCs/>
        </w:rPr>
        <w:t xml:space="preserve">holds or raises</w:t>
      </w:r>
      <w:r>
        <w:t xml:space="preserve"> </w:t>
      </w:r>
      <w:r>
        <w:t xml:space="preserve">the FY27 range that it deliberately set below FY26's growth and margin levels. Given DECK's pattern of conservative guides and beats, watch for a "beat-and-maintain" that either confirms the reset is a floor or, if trends disappoint, validates the deceleration fears.</w:t>
      </w:r>
    </w:p>
    <w:p>
      <w:pPr>
        <w:pStyle w:val="BodyText"/>
      </w:pPr>
      <w:r>
        <w:rPr>
          <w:i/>
          <w:iCs/>
        </w:rPr>
        <w:t xml:space="preserve">Note: figures and guidance above are drawn from DECK's Q4 FY26 earnings call/release (reported May 21, 2026) and the Q1 FY26 release; consensus figures are from public sources and should be verified against your own data before the print.</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2026-07-23T00:55:16Z</dcterms:created>
  <dcterms:modified xsi:type="dcterms:W3CDTF">2026-07-23T00:55:16Z</dcterms:modified>
</cp:coreProperties>
</file>

<file path=docProps/custom.xml><?xml version="1.0" encoding="utf-8"?>
<Properties xmlns="http://schemas.openxmlformats.org/officeDocument/2006/custom-properties" xmlns:vt="http://schemas.openxmlformats.org/officeDocument/2006/docPropsVTypes"/>
</file>