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Good, I have enough information now. Let me do one more check on options market implied move and any HOKA/UGG competitive news (Nike, On Running, Crocs) for context, then write the preview.# Deckers Brands (DECK) — Fiscal Q1 2027 Earnings Preview</w:t>
      </w:r>
      <w:r>
        <w:t xml:space="preserve"> </w:t>
      </w:r>
      <w:r>
        <w:rPr>
          <w:b/>
          <w:bCs/>
        </w:rPr>
        <w:t xml:space="preserve">Reports: Thursday, July 23, 2026, after market close | Fiscal quarter ended June 30, 2026</w:t>
      </w:r>
    </w:p>
    <w:bookmarkStart w:id="9" w:name="snapshot"/>
    <w:p>
      <w:pPr>
        <w:pStyle w:val="Heading2"/>
      </w:pPr>
      <w:r>
        <w:t xml:space="preserve">Snapshot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Stock price (7/22 close)</w:t>
            </w:r>
          </w:p>
        </w:tc>
        <w:tc>
          <w:tcPr/>
          <w:p>
            <w:pPr>
              <w:pStyle w:val="Compact"/>
            </w:pPr>
            <w:r>
              <w:t xml:space="preserve">~$102.50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52-week range</w:t>
            </w:r>
          </w:p>
        </w:tc>
        <w:tc>
          <w:tcPr/>
          <w:p>
            <w:pPr>
              <w:pStyle w:val="Compact"/>
            </w:pPr>
            <w:r>
              <w:t xml:space="preserve">~$79 – $126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 cap</w:t>
            </w:r>
          </w:p>
        </w:tc>
        <w:tc>
          <w:tcPr/>
          <w:p>
            <w:pPr>
              <w:pStyle w:val="Compact"/>
            </w:pPr>
            <w:r>
              <w:t xml:space="preserve">~$14 billion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Consensus revenue</w:t>
            </w:r>
          </w:p>
        </w:tc>
        <w:tc>
          <w:tcPr/>
          <w:p>
            <w:pPr>
              <w:pStyle w:val="Compact"/>
            </w:pPr>
            <w:r>
              <w:t xml:space="preserve">~$1.02 billion (+5.4–5.8% y/y)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Consensus EPS</w:t>
            </w:r>
          </w:p>
        </w:tc>
        <w:tc>
          <w:tcPr/>
          <w:p>
            <w:pPr>
              <w:pStyle w:val="Compact"/>
            </w:pPr>
            <w:r>
              <w:t xml:space="preserve">~$0.87–0.88 (range</w:t>
            </w:r>
            <w:r>
              <w:t xml:space="preserve"> </w:t>
            </w:r>
            <m:oMath>
              <m:r>
                <m:t>0.83</m:t>
              </m:r>
              <m:r>
                <m:rPr>
                  <m:sty m:val="p"/>
                </m:rPr>
                <m:t>–</m:t>
              </m:r>
            </m:oMath>
            <w:r>
              <w:t xml:space="preserve">0.92)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Company Q1 guidance</w:t>
            </w:r>
          </w:p>
        </w:tc>
        <w:tc>
          <w:tcPr/>
          <w:p>
            <w:pPr>
              <w:pStyle w:val="Compact"/>
            </w:pPr>
            <w:r>
              <w:t xml:space="preserve">Revenue ~+5% y/y (~$1.0B); EPS</w:t>
            </w:r>
            <w:r>
              <w:t xml:space="preserve"> </w:t>
            </w:r>
            <m:oMath>
              <m:r>
                <m:t>0.82</m:t>
              </m:r>
              <m:r>
                <m:rPr>
                  <m:sty m:val="p"/>
                </m:rPr>
                <m:t>–</m:t>
              </m:r>
            </m:oMath>
            <w:r>
              <w:t xml:space="preserve">0.87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FY27 guidance (full year)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  <w:r>
              <w:t xml:space="preserve"> </w:t>
            </w:r>
            <m:oMath>
              <m:r>
                <m:t>5.86</m:t>
              </m:r>
              <m:r>
                <m:rPr>
                  <m:sty m:val="p"/>
                </m:rPr>
                <m:t>–</m:t>
              </m:r>
            </m:oMath>
            <w:r>
              <w:t xml:space="preserve">5.91B; EPS</w:t>
            </w:r>
            <w:r>
              <w:t xml:space="preserve"> </w:t>
            </w:r>
            <m:oMath>
              <m:r>
                <m:t>7.30</m:t>
              </m:r>
              <m:r>
                <m:rPr>
                  <m:sty m:val="p"/>
                </m:rPr>
                <m:t>–</m:t>
              </m:r>
            </m:oMath>
            <w:r>
              <w:t xml:space="preserve">7.45</w:t>
            </w:r>
          </w:p>
        </w:tc>
      </w:tr>
    </w:tbl>
    <w:p>
      <w:pPr>
        <w:pStyle w:val="BodyText"/>
      </w:pPr>
      <w:r>
        <w:t xml:space="preserve">This is the first print of Deckers' new fiscal year and comes on the heels of a record fiscal 2026 and an unusually detailed multi-year (FY28–FY30) framework unveiled just two months ago. The setup is nuanced: Street numbers sit modestly</w:t>
      </w:r>
      <w:r>
        <w:t xml:space="preserve"> </w:t>
      </w:r>
      <w:r>
        <w:rPr>
          <w:i/>
          <w:iCs/>
        </w:rPr>
        <w:t xml:space="preserve">above</w:t>
      </w:r>
      <w:r>
        <w:t xml:space="preserve"> </w:t>
      </w:r>
      <w:r>
        <w:t xml:space="preserve">the low end of management's own quarterly guide on revenue, while consensus EPS is at the high end of the company's</w:t>
      </w:r>
      <w:r>
        <w:t xml:space="preserve"> </w:t>
      </w:r>
      <m:oMath>
        <m:r>
          <m:t>0.82</m:t>
        </m:r>
        <m:r>
          <m:rPr>
            <m:sty m:val="p"/>
          </m:rPr>
          <m:t>–</m:t>
        </m:r>
      </m:oMath>
      <w:r>
        <w:t xml:space="preserve">0.87 range — so the bar is not trivial even though the year-over-year EPS comparison looks like a decline.</w:t>
      </w:r>
    </w:p>
    <w:bookmarkEnd w:id="9"/>
    <w:bookmarkStart w:id="10" w:name="X2e74e3812df192bfd29614abdf0413f45c07bfa"/>
    <w:p>
      <w:pPr>
        <w:pStyle w:val="Heading2"/>
      </w:pPr>
      <w:r>
        <w:t xml:space="preserve">What Happened Last Quarter (Q4/FY26, reported May 21, 2026)</w:t>
      </w:r>
    </w:p>
    <w:p>
      <w:pPr>
        <w:pStyle w:val="FirstParagraph"/>
      </w:pPr>
      <w:r>
        <w:t xml:space="preserve">Deckers closed fiscal 2026 with a strong beat-and-raise quarter. Q4 revenue rose 9.6% to $1.119 billion, with HOKA up 14.5% to $671 million (a brand record) and UGG up 9.2% to $409 million, aided by extended sell-through of fall product. Gross margin expanded 90 bps to 57.6% on high full-price selling, favorable FX and lower freight, partially offset by tariffs. Diluted EPS was $0.96, which actually declined from $1.00 a year ago because management pulled forward SG&amp;A spend (accelerated marketing, tech investment, and unfavorable FX remeasurement) to "provide a stronger setup" entering FY27.</w:t>
      </w:r>
    </w:p>
    <w:p>
      <w:pPr>
        <w:pStyle w:val="BodyText"/>
      </w:pPr>
      <w:r>
        <w:t xml:space="preserve">For the full year, revenue hit a record $5.47 billion (+9.8%), with HOKA at $2.59 billion (+16%) and UGG at $2.74 billion (+8%). Operating margin was 23.1% and diluted EPS hit a record $7.02 (+11%). The company generated over $1 billion of free cash flow for a third straight year, ended with $1.9 billion of cash and no debt, and repurchased $1.075 billion of stock during FY26 (weighted average price $102.43) — importantly, roughly in line with current levels, suggesting buybacks have been a supportive, price-agnostic feature of the story.</w:t>
      </w:r>
    </w:p>
    <w:p>
      <w:pPr>
        <w:pStyle w:val="BodyText"/>
      </w:pPr>
      <w:r>
        <w:t xml:space="preserve">Alongside results, the board</w:t>
      </w:r>
      <w:r>
        <w:t xml:space="preserve"> </w:t>
      </w:r>
      <w:r>
        <w:rPr>
          <w:b/>
          <w:bCs/>
        </w:rPr>
        <w:t xml:space="preserve">increased the buyback authorization by $3.5 billion to roughly $5 billion total</w:t>
      </w:r>
      <w:r>
        <w:t xml:space="preserve">, and management introduced a</w:t>
      </w:r>
      <w:r>
        <w:t xml:space="preserve"> </w:t>
      </w:r>
      <w:r>
        <w:rPr>
          <w:b/>
          <w:bCs/>
        </w:rPr>
        <w:t xml:space="preserve">multi-year framework through FY2030</w:t>
      </w:r>
      <w:r>
        <w:t xml:space="preserve">: high-single-digit consolidated revenue growth (HOKA low-double-digit, UGG mid-single-digit), operating margins sustained in the "low 20s+" range, and low-double-digit annual EPS growth via continued repurchases. Management characterized this as a less conservative guide than its historical playbook — "leaning into" the outlook given two years of strong brand momentum.</w:t>
      </w:r>
    </w:p>
    <w:bookmarkEnd w:id="10"/>
    <w:bookmarkStart w:id="11" w:name="Xa3653739e305264388afd371a340eebc6f041c6"/>
    <w:p>
      <w:pPr>
        <w:pStyle w:val="Heading2"/>
      </w:pPr>
      <w:r>
        <w:t xml:space="preserve">The Specific Guidance for the Quarter Reporting Tomorrow</w:t>
      </w:r>
    </w:p>
    <w:p>
      <w:pPr>
        <w:pStyle w:val="FirstParagraph"/>
      </w:pPr>
      <w:r>
        <w:t xml:space="preserve">Unusually, CFO Steve Fasching gave explicit color on Q1 FY27 back in May, flagging several one-time distortions investors should keep in mind: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Revenue:</w:t>
      </w:r>
      <w:r>
        <w:t xml:space="preserve"> </w:t>
      </w:r>
      <w:r>
        <w:t xml:space="preserve">consolidated growth of ~5% to Deckers' first-ever $1 billion June quarter, with HOKA up high-single-digits (DTC-led) and UGG up mid-single-digits.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Timing noise:</w:t>
      </w:r>
      <w:r>
        <w:t xml:space="preserve"> </w:t>
      </w:r>
      <w:r>
        <w:t xml:space="preserve">last year's Q1 was inflated by an EMEA 3PL/warehouse transition that pulled shipments forward, while this year APAC distributor shipments are shifting out of Q1 and HOKA is deliberately reducing shipments of outgoing styles ahead of the</w:t>
      </w:r>
      <w:r>
        <w:t xml:space="preserve"> </w:t>
      </w:r>
      <w:r>
        <w:rPr>
          <w:b/>
          <w:bCs/>
        </w:rPr>
        <w:t xml:space="preserve">Clifton 11 / Clifton Pro launch in July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Gross margin:</w:t>
      </w:r>
      <w:r>
        <w:t xml:space="preserve"> </w:t>
      </w:r>
      <w:r>
        <w:t xml:space="preserve">expected down y/y — the "wraparound" of higher U.S. tariffs, with slight offsets from channel mix and FX.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SG&amp;A:</w:t>
      </w:r>
      <w:r>
        <w:t xml:space="preserve"> </w:t>
      </w:r>
      <w:r>
        <w:t xml:space="preserve">expected to grow roughly 2x the rate of revenue, as the company laps favorable FX remeasurement and new-hire timing from a year ago while continuing to front-load marketing investment.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EPS:</w:t>
      </w:r>
      <w:r>
        <w:t xml:space="preserve"> </w:t>
      </w:r>
      <w:r>
        <w:t xml:space="preserve">guided to</w:t>
      </w:r>
      <w:r>
        <w:t xml:space="preserve"> </w:t>
      </w:r>
      <m:oMath>
        <m:r>
          <m:t>0.82</m:t>
        </m:r>
        <m:r>
          <m:rPr>
            <m:sty m:val="p"/>
          </m:rPr>
          <m:t>–</m:t>
        </m:r>
      </m:oMath>
      <w:r>
        <w:t xml:space="preserve">0.87, which would be down from $0.93 in the prior-year quarter (which itself featured a 55.8% gross margin, 17.1% operating margin and $139 million of net income).</w:t>
      </w:r>
    </w:p>
    <w:p>
      <w:pPr>
        <w:pStyle w:val="FirstParagraph"/>
      </w:pPr>
      <w:r>
        <w:t xml:space="preserve">Consensus has settled at the higher end of — or slightly above — this range (~</w:t>
      </w:r>
      <m:oMath>
        <m:r>
          <m:t>0.87</m:t>
        </m:r>
        <m:r>
          <m:rPr>
            <m:sty m:val="p"/>
          </m:rPr>
          <m:t>–</m:t>
        </m:r>
        <m:r>
          <m:t>0.88</m:t>
        </m:r>
        <m:r>
          <m:t>E</m:t>
        </m:r>
        <m:r>
          <m:t>P</m:t>
        </m:r>
        <m:r>
          <m:t>S</m:t>
        </m:r>
        <m:r>
          <m:rPr>
            <m:sty m:val="p"/>
          </m:rPr>
          <m:t>,</m:t>
        </m:r>
        <m:r>
          <m:t> </m:t>
        </m:r>
      </m:oMath>
      <w:r>
        <w:t xml:space="preserve">1.02B revenue vs. the company's ~$1.0B implied guide), reflecting Deckers' strong beat history: it has topped EPS estimates in each of the last four quarters by an average of roughly 23%, including an 18%+ beat last quarter. That track record cuts both ways heading into tomorrow — a "beat" is close to priced in, and analyst estimate revisions have actually drifted</w:t>
      </w:r>
      <w:r>
        <w:t xml:space="preserve"> </w:t>
      </w:r>
      <w:r>
        <w:rPr>
          <w:i/>
          <w:iCs/>
        </w:rPr>
        <w:t xml:space="preserve">lower</w:t>
      </w:r>
      <w:r>
        <w:t xml:space="preserve"> </w:t>
      </w:r>
      <w:r>
        <w:t xml:space="preserve">over the past 90 days even as they've stabilized in the last 30, suggesting some fresh caution about near-term profitability.</w:t>
      </w:r>
    </w:p>
    <w:bookmarkEnd w:id="11"/>
    <w:bookmarkStart w:id="12" w:name="key-things-to-watch"/>
    <w:p>
      <w:pPr>
        <w:pStyle w:val="Heading2"/>
      </w:pPr>
      <w:r>
        <w:t xml:space="preserve">Key Things to Watch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HOKA momentum and order book.</w:t>
      </w:r>
      <w:r>
        <w:t xml:space="preserve"> </w:t>
      </w:r>
      <w:r>
        <w:t xml:space="preserve">Management described a "strong, healthy" wholesale order book on the last call, with international brand awareness still well behind the U.S. (~40% international vs. ~60% U.S.), leaving runway for the low-double-digit multi-year growth target. Watch for commentary on the Clifton 11/Clifton Pro launch reception, continued lifestyle "green shoots" (Mafate Speed 2, Bondi 7), and progress on selective wholesale door expansion into sporting goods/athletic specialty this fall.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UGG's demand pattern.</w:t>
      </w:r>
      <w:r>
        <w:t xml:space="preserve"> </w:t>
      </w:r>
      <w:r>
        <w:t xml:space="preserve">Management has described consumer purchasing as increasingly "event-driven" for UGG, creating quarter-to-quarter volatility even as full-year demand holds up; FY27 calls for UGG to keep diversifying into spring/summer (sneakers, sandals, apparel) and men's, which contributed over 20% of UGG's FY26 growth.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Gross margin trajectory.</w:t>
      </w:r>
      <w:r>
        <w:t xml:space="preserve"> </w:t>
      </w:r>
      <w:r>
        <w:t xml:space="preserve">FY27 guidance already bakes in a step-down to ~56.5% (from 57.7% in FY26) on tariffs (guidance assumes a 10% rate holds all year, with no tariff-refund benefit included), freight/shipping disruption tied to the Middle East conflict, and input-cost inflation from material upgrades. Any incremental tariff news — Deckers paid roughly $120 million in gross IEEPA-related tariffs in FY26 and is pursuing refunds — is a swing factor.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SG&amp;A/investment cadence.</w:t>
      </w:r>
      <w:r>
        <w:t xml:space="preserve"> </w:t>
      </w:r>
      <w:r>
        <w:t xml:space="preserve">FY27 SG&amp;A is guided to ~35% of sales (up from 34.6%) as the company invests in marketing, HOKA retail expansion (20–25 new stores/year), and technology, with management targeting the return to</w:t>
      </w:r>
      <w:r>
        <w:t xml:space="preserve"> </w:t>
      </w:r>
      <w:r>
        <w:rPr>
          <w:i/>
          <w:iCs/>
        </w:rPr>
        <w:t xml:space="preserve">operating leverage</w:t>
      </w:r>
      <w:r>
        <w:t xml:space="preserve"> </w:t>
      </w:r>
      <w:r>
        <w:t xml:space="preserve">only in FY28 and beyond.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Capital returns.</w:t>
      </w:r>
      <w:r>
        <w:t xml:space="preserve"> </w:t>
      </w:r>
      <w:r>
        <w:t xml:space="preserve">With ~</w:t>
      </w:r>
      <m:oMath>
        <m:r>
          <m:t>5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b</m:t>
        </m:r>
        <m:r>
          <m:t>u</m:t>
        </m:r>
        <m:r>
          <m:t>y</m:t>
        </m:r>
        <m:r>
          <m:t>b</m:t>
        </m:r>
        <m:r>
          <m:t>a</m:t>
        </m:r>
        <m:r>
          <m:t>c</m:t>
        </m:r>
        <m:r>
          <m:t>k</m:t>
        </m:r>
        <m:r>
          <m:t>c</m:t>
        </m:r>
        <m:r>
          <m:t>a</m:t>
        </m:r>
        <m:r>
          <m:t>p</m:t>
        </m:r>
        <m:r>
          <m:t>a</m:t>
        </m:r>
        <m:r>
          <m:t>c</m:t>
        </m:r>
        <m:r>
          <m:t>i</m:t>
        </m:r>
        <m:r>
          <m:t>t</m:t>
        </m:r>
        <m:r>
          <m:t>y</m:t>
        </m:r>
        <m:r>
          <m:t>n</m:t>
        </m:r>
        <m:r>
          <m:t>o</m:t>
        </m:r>
        <m:r>
          <m:t>w</m:t>
        </m:r>
        <m:r>
          <m:t>a</m:t>
        </m:r>
        <m:r>
          <m:t>u</m:t>
        </m:r>
        <m:r>
          <m:t>t</m:t>
        </m:r>
        <m:r>
          <m:t>h</m:t>
        </m:r>
        <m:r>
          <m:t>o</m:t>
        </m:r>
        <m:r>
          <m:t>r</m:t>
        </m:r>
        <m:r>
          <m:t>i</m:t>
        </m:r>
        <m:r>
          <m:t>z</m:t>
        </m:r>
        <m:r>
          <m:t>e</m:t>
        </m:r>
        <m:r>
          <m:t>d</m:t>
        </m:r>
        <m:r>
          <m:t>a</m:t>
        </m:r>
        <m:r>
          <m:t>n</m:t>
        </m:r>
        <m:r>
          <m:t>d</m:t>
        </m:r>
        <m:r>
          <m:t>a</m:t>
        </m:r>
        <m:r>
          <m:t>p</m:t>
        </m:r>
        <m:r>
          <m:t>l</m:t>
        </m:r>
        <m:r>
          <m:t>a</m:t>
        </m:r>
        <m:r>
          <m:t>n</m:t>
        </m:r>
        <m:r>
          <m:t>t</m:t>
        </m:r>
        <m:r>
          <m:t>o</m:t>
        </m:r>
        <m:r>
          <m:t>r</m:t>
        </m:r>
        <m:r>
          <m:t>e</m:t>
        </m:r>
        <m:r>
          <m:t>p</m:t>
        </m:r>
        <m:r>
          <m:t>u</m:t>
        </m:r>
        <m:r>
          <m:t>r</m:t>
        </m:r>
        <m:r>
          <m:t>c</m:t>
        </m:r>
        <m:r>
          <m:t>h</m:t>
        </m:r>
        <m:r>
          <m:t>a</m:t>
        </m:r>
        <m:r>
          <m:t>s</m:t>
        </m:r>
        <m:r>
          <m:t>e</m:t>
        </m:r>
        <m:r>
          <m:t>a</m:t>
        </m:r>
        <m:r>
          <m:t>t</m:t>
        </m:r>
        <m:r>
          <m:t>l</m:t>
        </m:r>
        <m:r>
          <m:t>e</m:t>
        </m:r>
        <m:r>
          <m:t>a</m:t>
        </m:r>
        <m:r>
          <m:t>s</m:t>
        </m:r>
        <m:r>
          <m:t>t</m:t>
        </m:r>
        <m:r>
          <m:t>80</m:t>
        </m:r>
      </m:oMath>
      <w:r>
        <w:t xml:space="preserve">100s.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Domestic vs. international mix.</w:t>
      </w:r>
      <w:r>
        <w:t xml:space="preserve"> </w:t>
      </w:r>
      <w:r>
        <w:t xml:space="preserve">International sales grew 27% in FY26 versus flat domestic growth (partly muted by the wind-down of Sanuk/Koolaburra); the multi-year framework leans on international outgrowing the U.S. across both brands.</w:t>
      </w:r>
    </w:p>
    <w:bookmarkEnd w:id="12"/>
    <w:bookmarkStart w:id="13" w:name="stock-setup"/>
    <w:p>
      <w:pPr>
        <w:pStyle w:val="Heading2"/>
      </w:pPr>
      <w:r>
        <w:t xml:space="preserve">Stock Setup</w:t>
      </w:r>
    </w:p>
    <w:p>
      <w:pPr>
        <w:pStyle w:val="FirstParagraph"/>
      </w:pPr>
      <w:r>
        <w:t xml:space="preserve">Shares have been volatile over the trailing year — a sharp tariff-driven selloff took DECK from the low-$100s in mid-2025 down to a 52-week low near $79 last October, before a recovery back above $115–120 into early 2026, a fresh pullback into the May Q4 print (lows near $93–94), and a post-earnings rally back above $110. Shares have since drifted back down to roughly</w:t>
      </w:r>
      <w:r>
        <w:t xml:space="preserve"> </w:t>
      </w:r>
      <m:oMath>
        <m:r>
          <m:t>102</m:t>
        </m:r>
        <m:r>
          <m:t>h</m:t>
        </m:r>
        <m:r>
          <m:t>e</m:t>
        </m:r>
        <m:r>
          <m:t>a</m:t>
        </m:r>
        <m:r>
          <m:t>d</m:t>
        </m:r>
        <m:r>
          <m:t>i</m:t>
        </m:r>
        <m:r>
          <m:t>n</m:t>
        </m:r>
        <m:r>
          <m:t>g</m:t>
        </m:r>
        <m:r>
          <m:t>i</m:t>
        </m:r>
        <m:r>
          <m:t>n</m:t>
        </m:r>
        <m:r>
          <m:t>t</m:t>
        </m:r>
        <m:r>
          <m:t>o</m:t>
        </m:r>
        <m:r>
          <m:t>t</m:t>
        </m:r>
        <m:r>
          <m:t>o</m:t>
        </m:r>
        <m:r>
          <m:t>m</m:t>
        </m:r>
        <m:r>
          <m:t>o</m:t>
        </m:r>
        <m:r>
          <m:t>r</m:t>
        </m:r>
        <m:r>
          <m:t>r</m:t>
        </m:r>
        <m:r>
          <m:t>o</m:t>
        </m:r>
        <m:sSup>
          <m:e>
            <m:r>
              <m:t>w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r</m:t>
        </m:r>
        <m:r>
          <m:t>e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,</m:t>
        </m:r>
        <m:r>
          <m:t>t</m:t>
        </m:r>
        <m:r>
          <m:t>r</m:t>
        </m:r>
        <m:r>
          <m:t>a</m:t>
        </m:r>
        <m:r>
          <m:t>d</m:t>
        </m:r>
        <m:r>
          <m:t>i</m:t>
        </m:r>
        <m:r>
          <m:t>n</m:t>
        </m:r>
        <m:r>
          <m:t>g</m:t>
        </m:r>
        <m:r>
          <m:t>a</m:t>
        </m:r>
        <m:r>
          <m:t>t</m:t>
        </m:r>
        <m:r>
          <m:t>a</m:t>
        </m:r>
        <m:r>
          <m:t>t</m:t>
        </m:r>
        <m:r>
          <m:t>r</m:t>
        </m:r>
        <m:r>
          <m:t>a</m:t>
        </m:r>
        <m:r>
          <m:t>i</m:t>
        </m:r>
        <m:r>
          <m:t>l</m:t>
        </m:r>
        <m:r>
          <m:t>i</m:t>
        </m:r>
        <m:r>
          <m:t>n</m:t>
        </m:r>
        <m:r>
          <m:t>g</m:t>
        </m:r>
        <m:r>
          <m:t>P</m:t>
        </m:r>
        <m:r>
          <m:rPr>
            <m:sty m:val="p"/>
          </m:rPr>
          <m:t>/</m:t>
        </m:r>
        <m:r>
          <m:t>E</m:t>
        </m:r>
        <m:r>
          <m:t>i</m:t>
        </m:r>
        <m:r>
          <m:t>n</m:t>
        </m:r>
        <m:r>
          <m:t>t</m:t>
        </m:r>
        <m:r>
          <m:t>h</m:t>
        </m:r>
        <m:r>
          <m:t>e</m:t>
        </m:r>
        <m:r>
          <m:t>m</m:t>
        </m:r>
        <m:r>
          <m:t>i</m:t>
        </m:r>
        <m:r>
          <m:t>d</m:t>
        </m:r>
        <m:r>
          <m:rPr>
            <m:sty m:val="p"/>
          </m:rPr>
          <m:t>−</m:t>
        </m:r>
        <m:r>
          <m:t>t</m:t>
        </m:r>
        <m:r>
          <m:t>e</m:t>
        </m:r>
        <m:r>
          <m:t>e</m:t>
        </m:r>
        <m:r>
          <m:t>n</m:t>
        </m:r>
        <m:r>
          <m:t>s</m:t>
        </m:r>
        <m:r>
          <m:rPr>
            <m:sty m:val="p"/>
          </m:rPr>
          <m:t>—</m:t>
        </m:r>
        <m:r>
          <m:t>a</m:t>
        </m:r>
        <m:r>
          <m:t>v</m:t>
        </m:r>
        <m:r>
          <m:t>a</m:t>
        </m:r>
        <m:r>
          <m:t>l</m:t>
        </m:r>
        <m:r>
          <m:t>u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t</m:t>
        </m:r>
        <m:r>
          <m:t>h</m:t>
        </m:r>
        <m:r>
          <m:t>a</m:t>
        </m:r>
        <m:r>
          <m:t>t</m:t>
        </m:r>
        <m:r>
          <m:t>r</m:t>
        </m:r>
        <m:r>
          <m:t>e</m:t>
        </m:r>
        <m:r>
          <m:t>f</m:t>
        </m:r>
        <m:r>
          <m:t>l</m:t>
        </m:r>
        <m:r>
          <m:t>e</m:t>
        </m:r>
        <m:r>
          <m:t>c</m:t>
        </m:r>
        <m:r>
          <m:t>t</m:t>
        </m:r>
        <m:r>
          <m:t>s</m:t>
        </m:r>
        <m:r>
          <m:t>l</m:t>
        </m:r>
        <m:r>
          <m:t>i</m:t>
        </m:r>
        <m:r>
          <m:t>n</m:t>
        </m:r>
        <m:r>
          <m:t>g</m:t>
        </m:r>
        <m:r>
          <m:t>e</m:t>
        </m:r>
        <m:r>
          <m:t>r</m:t>
        </m:r>
        <m:r>
          <m:t>i</m:t>
        </m:r>
        <m:r>
          <m:t>n</m:t>
        </m:r>
        <m:r>
          <m:t>g</m:t>
        </m:r>
        <m:r>
          <m:t>t</m:t>
        </m:r>
        <m:r>
          <m:t>a</m:t>
        </m:r>
        <m:r>
          <m:t>r</m:t>
        </m:r>
        <m:r>
          <m:t>i</m:t>
        </m:r>
        <m:r>
          <m:t>f</m:t>
        </m:r>
        <m:r>
          <m:t>f</m:t>
        </m:r>
        <m:r>
          <m:rPr>
            <m:sty m:val="p"/>
          </m:rPr>
          <m:t>/</m:t>
        </m:r>
        <m:r>
          <m:t>m</m:t>
        </m:r>
        <m:r>
          <m:t>a</m:t>
        </m:r>
        <m:r>
          <m:t>r</m:t>
        </m:r>
        <m:r>
          <m:t>g</m:t>
        </m:r>
        <m:r>
          <m:t>i</m:t>
        </m:r>
        <m:r>
          <m:t>n</m:t>
        </m:r>
        <m:r>
          <m:t>u</m:t>
        </m:r>
        <m:r>
          <m:t>n</m:t>
        </m:r>
        <m:r>
          <m:t>c</m:t>
        </m:r>
        <m:r>
          <m:t>e</m:t>
        </m:r>
        <m:r>
          <m:t>r</m:t>
        </m:r>
        <m:r>
          <m:t>t</m:t>
        </m:r>
        <m:r>
          <m:t>a</m:t>
        </m:r>
        <m:r>
          <m:t>i</m:t>
        </m:r>
        <m:r>
          <m:t>n</m:t>
        </m:r>
        <m:r>
          <m:t>t</m:t>
        </m:r>
        <m:r>
          <m:t>y</m:t>
        </m:r>
        <m:r>
          <m:t>e</m:t>
        </m:r>
        <m:r>
          <m:t>v</m:t>
        </m:r>
        <m:r>
          <m:t>e</m:t>
        </m:r>
        <m:r>
          <m:t>n</m:t>
        </m:r>
        <m:r>
          <m:t>a</m:t>
        </m:r>
        <m:r>
          <m:t>s</m:t>
        </m:r>
        <m:r>
          <m:t>t</m:t>
        </m:r>
        <m:r>
          <m:t>h</m:t>
        </m:r>
        <m:r>
          <m:t>e</m:t>
        </m:r>
        <m:r>
          <m:t>u</m:t>
        </m:r>
        <m:r>
          <m:t>n</m:t>
        </m:r>
        <m:r>
          <m:t>d</m:t>
        </m:r>
        <m:r>
          <m:t>e</m:t>
        </m:r>
        <m:r>
          <m:t>r</m:t>
        </m:r>
        <m:r>
          <m:t>l</m:t>
        </m:r>
        <m:r>
          <m:t>y</m:t>
        </m:r>
        <m:r>
          <m:t>i</m:t>
        </m:r>
        <m:r>
          <m:t>n</m:t>
        </m:r>
        <m:r>
          <m:t>g</m:t>
        </m:r>
        <m:r>
          <m:t>b</m:t>
        </m:r>
        <m:r>
          <m:t>r</m:t>
        </m:r>
        <m:r>
          <m:t>a</m:t>
        </m:r>
        <m:r>
          <m:t>n</m:t>
        </m:r>
        <m:r>
          <m:t>d</m:t>
        </m:r>
        <m:r>
          <m:t>f</m:t>
        </m:r>
        <m:r>
          <m:t>u</m:t>
        </m:r>
        <m:r>
          <m:t>n</m:t>
        </m:r>
        <m:r>
          <m:t>d</m:t>
        </m:r>
        <m:r>
          <m:t>a</m:t>
        </m:r>
        <m:r>
          <m:t>m</m:t>
        </m:r>
        <m:r>
          <m:t>e</m:t>
        </m:r>
        <m:r>
          <m:t>n</m:t>
        </m:r>
        <m:r>
          <m:t>t</m:t>
        </m:r>
        <m:r>
          <m:t>a</m:t>
        </m:r>
        <m:r>
          <m:t>l</m:t>
        </m:r>
        <m:r>
          <m:t>s</m:t>
        </m:r>
        <m:r>
          <m:rPr>
            <m:sty m:val="p"/>
          </m:rPr>
          <m:t>(</m:t>
        </m:r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rPr>
            <m:sty m:val="p"/>
          </m:rPr>
          <m:t>,</m:t>
        </m:r>
        <m:r>
          <m:t>i</m:t>
        </m:r>
        <m:r>
          <m:t>n</m:t>
        </m:r>
        <m:r>
          <m:t>d</m:t>
        </m:r>
        <m:r>
          <m:t>u</m:t>
        </m:r>
        <m:r>
          <m:t>s</m:t>
        </m:r>
        <m:r>
          <m:t>t</m:t>
        </m:r>
        <m:r>
          <m:t>r</m:t>
        </m:r>
        <m:r>
          <m:t>y</m:t>
        </m:r>
        <m:r>
          <m:rPr>
            <m:sty m:val="p"/>
          </m:rPr>
          <m:t>−</m:t>
        </m:r>
        <m:r>
          <m:t>l</m:t>
        </m:r>
        <m:r>
          <m:t>e</m:t>
        </m:r>
        <m:r>
          <m:t>a</m:t>
        </m:r>
        <m:r>
          <m:t>d</m:t>
        </m:r>
        <m:r>
          <m:t>i</m:t>
        </m:r>
        <m:r>
          <m:t>n</m:t>
        </m:r>
        <m:r>
          <m:t>g</m:t>
        </m:r>
        <m:r>
          <m:t>m</m:t>
        </m:r>
        <m:r>
          <m:t>a</m:t>
        </m:r>
        <m:r>
          <m:t>r</m:t>
        </m:r>
        <m:r>
          <m:t>g</m:t>
        </m:r>
        <m:r>
          <m:t>i</m:t>
        </m:r>
        <m:r>
          <m:t>n</m:t>
        </m:r>
        <m:r>
          <m:t>s</m:t>
        </m:r>
        <m:r>
          <m:rPr>
            <m:sty m:val="p"/>
          </m:rPr>
          <m:t>,</m:t>
        </m:r>
        <m:r>
          <m:t>n</m:t>
        </m:r>
        <m:r>
          <m:t>e</m:t>
        </m:r>
        <m:r>
          <m:t>a</m:t>
        </m:r>
        <m:r>
          <m:t>r</m:t>
        </m:r>
        <m:r>
          <m:rPr>
            <m:sty m:val="p"/>
          </m:rPr>
          <m:t>−</m:t>
        </m:r>
      </m:oMath>
      <w:r>
        <w:t xml:space="preserve">5B buyback firepower) remain intact.</w:t>
      </w:r>
    </w:p>
    <w:bookmarkEnd w:id="13"/>
    <w:bookmarkStart w:id="14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This print is less about whether Deckers can grow — HOKA and UGG both have credible multi-year growth algorithms reaffirmed just two months ago — and more about the</w:t>
      </w:r>
      <w:r>
        <w:t xml:space="preserve"> </w:t>
      </w:r>
      <w:r>
        <w:rPr>
          <w:i/>
          <w:iCs/>
        </w:rPr>
        <w:t xml:space="preserve">shape</w:t>
      </w:r>
      <w:r>
        <w:t xml:space="preserve"> </w:t>
      </w:r>
      <w:r>
        <w:t xml:space="preserve">of near-term profitability. Investors should look past a likely headline EPS decline (guided down from $0.93 a year ago) and focus on: (1) whether HOKA's order book strength is showing up in the numbers despite Q1 shipment-timing noise, (2) whether gross margin is tracking the ~56.5% full-year target amid tariffs and freight/input inflation, and (3) any updated commentary on the FY28–30 framework's credibility, given management's own admission it is "leaning in" more than its historically conservative guidance style would suggest.</w:t>
      </w:r>
    </w:p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2026-07-23T00:59:24Z</dcterms:created>
  <dcterms:modified xsi:type="dcterms:W3CDTF">2026-07-23T00:59:24Z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