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eck-earnings-predictions--2026-07-23"/>
    <w:p>
      <w:pPr>
        <w:pStyle w:val="Heading1"/>
      </w:pPr>
      <w:r>
        <w:t xml:space="preserve">DECK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~$1.035B vs. cons $1.020B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~$0.91 vs. cons $0.88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HOKA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~$712M vs. cons $704M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~$1.55B vs. cons $1.52B (2027Q2)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~$1.91 vs. cons $1.87 (2027Q2)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HOKA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~11% vs. cons 10% (2027Q2)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~$7.38 vs. cons $7.46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+6.5%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DECK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(FADE)</w:t>
            </w:r>
          </w:p>
        </w:tc>
        <w:tc>
          <w:tcPr/>
          <w:p>
            <w:pPr>
              <w:pStyle w:val="Compact"/>
            </w:pPr>
            <w:r>
              <w:t xml:space="preserve">The initial reaction rewards the Q1 beat and Q2 HOKA acceleration, but the 5-day residual fades to +4.0% from +6.5% on day 1 because unchanged FY2027 guidance remains below consensus and limits upward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2026-07-23T00:56:06Z</dcterms:created>
  <dcterms:modified xsi:type="dcterms:W3CDTF">2026-07-23T00:56:06Z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