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deck-fiscal-q1-2027-earnings-preview"/>
    <w:p>
      <w:pPr>
        <w:pStyle w:val="Heading1"/>
      </w:pPr>
      <w:r>
        <w:t xml:space="preserve">DECK Fiscal Q1 2027 Earnings Preview</w:t>
      </w:r>
    </w:p>
    <w:p>
      <w:pPr>
        <w:pStyle w:val="BlockText"/>
      </w:pPr>
      <w:r>
        <w:rPr>
          <w:b/>
          <w:bCs/>
        </w:rPr>
        <w:t xml:space="preserve">Timing clarification:</w:t>
      </w:r>
      <w:r>
        <w:t xml:space="preserve"> </w:t>
      </w:r>
      <w:r>
        <w:t xml:space="preserve">Deckers reports</w:t>
      </w:r>
      <w:r>
        <w:t xml:space="preserve"> </w:t>
      </w:r>
      <w:r>
        <w:rPr>
          <w:b/>
          <w:bCs/>
        </w:rPr>
        <w:t xml:space="preserve">today, Thursday, July 23, 2026</w:t>
      </w:r>
      <w:r>
        <w:t xml:space="preserve">, after the close, with the earnings call scheduled for</w:t>
      </w:r>
      <w:r>
        <w:t xml:space="preserve"> </w:t>
      </w:r>
      <w:r>
        <w:rPr>
          <w:b/>
          <w:bCs/>
        </w:rPr>
        <w:t xml:space="preserve">4:30 p.m. ET</w:t>
      </w:r>
      <w:r>
        <w:t xml:space="preserve">—not tomorrow. (</w:t>
      </w:r>
      <w:hyperlink r:id="rId9">
        <w:r>
          <w:rPr>
            <w:rStyle w:val="Hyperlink"/>
          </w:rPr>
          <w:t xml:space="preserve">ir.deckers.com</w:t>
        </w:r>
      </w:hyperlink>
      <w:r>
        <w:t xml:space="preserve">)</w:t>
      </w:r>
    </w:p>
    <w:bookmarkStart w:id="10" w:name="investment-setup"/>
    <w:p>
      <w:pPr>
        <w:pStyle w:val="Heading2"/>
      </w:pPr>
      <w:r>
        <w:t xml:space="preserve">Investment setup</w:t>
      </w:r>
    </w:p>
    <w:p>
      <w:pPr>
        <w:pStyle w:val="FirstParagraph"/>
      </w:pPr>
      <w:r>
        <w:t xml:space="preserve">Deckers enters the report with a deliberately subdued first-quarter outlook. Management has already guided to approximately</w:t>
      </w:r>
      <w:r>
        <w:t xml:space="preserve"> </w:t>
      </w:r>
      <w:r>
        <w:rPr>
          <w:b/>
          <w:bCs/>
        </w:rPr>
        <w:t xml:space="preserve">5% revenue growth</w:t>
      </w:r>
      <w:r>
        <w:t xml:space="preserve">, HOKA growth in the</w:t>
      </w:r>
      <w:r>
        <w:t xml:space="preserve"> </w:t>
      </w:r>
      <w:r>
        <w:rPr>
          <w:b/>
          <w:bCs/>
        </w:rPr>
        <w:t xml:space="preserve">high single digits</w:t>
      </w:r>
      <w:r>
        <w:t xml:space="preserve">, UGG growth in the</w:t>
      </w:r>
      <w:r>
        <w:t xml:space="preserve"> </w:t>
      </w:r>
      <w:r>
        <w:rPr>
          <w:b/>
          <w:bCs/>
        </w:rPr>
        <w:t xml:space="preserve">mid-single digits</w:t>
      </w:r>
      <w:r>
        <w:t xml:space="preserve">, and EPS of</w:t>
      </w:r>
      <w:r>
        <w:t xml:space="preserve"> </w:t>
      </w:r>
      <m:oMath>
        <m:r>
          <m:t>0.82</m:t>
        </m:r>
        <m:r>
          <m:rPr>
            <m:sty m:val="p"/>
          </m:rPr>
          <m:t>–</m:t>
        </m:r>
      </m:oMath>
      <w:r>
        <w:rPr>
          <w:b/>
          <w:bCs/>
        </w:rPr>
        <w:t xml:space="preserve">0.87</w:t>
      </w:r>
      <w:r>
        <w:t xml:space="preserve">.</w:t>
      </w:r>
    </w:p>
    <w:p>
      <w:pPr>
        <w:pStyle w:val="BodyText"/>
      </w:pPr>
      <w:r>
        <w:t xml:space="preserve">That slowdown is partly attributable to shipment and product-launch timing rather than an asserted deterioration in demand. Fiscal Q1 faces a difficult comparison with last year, when revenue grew 16.9%, including particularly strong international wholesale shipments. This year, management reduced outgoing Clifton inventory ahead of the new model’s July launch, while some APAC distributor shipments were pushed out of the quarter.</w:t>
      </w:r>
    </w:p>
    <w:p>
      <w:pPr>
        <w:pStyle w:val="BodyText"/>
      </w:pPr>
      <w:r>
        <w:t xml:space="preserve">Accordingly, the central question is not simply whether Deckers beats its conservative quarterly guidance. It is whether the report supports the planned</w:t>
      </w:r>
      <w:r>
        <w:t xml:space="preserve"> </w:t>
      </w:r>
      <w:r>
        <w:rPr>
          <w:b/>
          <w:bCs/>
        </w:rPr>
        <w:t xml:space="preserve">reacceleration after Q1</w:t>
      </w:r>
      <w:r>
        <w:t xml:space="preserve"> </w:t>
      </w:r>
      <w:r>
        <w:t xml:space="preserve">and preserves confidence in the company’s low-double-digit HOKA growth algorithm.</w:t>
      </w:r>
    </w:p>
    <w:bookmarkEnd w:id="10"/>
    <w:bookmarkStart w:id="13" w:name="expectations-at-a-glance"/>
    <w:p>
      <w:pPr>
        <w:pStyle w:val="Heading2"/>
      </w:pPr>
      <w:r>
        <w:t xml:space="preserve">Expectations at a glance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Management commentary</w:t>
            </w:r>
          </w:p>
        </w:tc>
        <w:tc>
          <w:tcPr/>
          <w:p>
            <w:pPr>
              <w:pStyle w:val="Compact"/>
              <w:jc w:val="right"/>
            </w:pPr>
            <w:r>
              <w:t xml:space="preserve">Street expectation</w:t>
            </w:r>
          </w:p>
        </w:tc>
        <w:tc>
          <w:tcPr/>
          <w:p>
            <w:pPr>
              <w:pStyle w:val="Compact"/>
              <w:jc w:val="right"/>
            </w:pPr>
            <w:r>
              <w:t xml:space="preserve">Prior-year result</w:t>
            </w:r>
          </w:p>
        </w:tc>
      </w:tr>
      <w:tr>
        <w:tc>
          <w:tcPr/>
          <w:p>
            <w:pPr>
              <w:pStyle w:val="Compact"/>
            </w:pPr>
            <w:r>
              <w:t xml:space="preserve">Revenue</w:t>
            </w:r>
          </w:p>
        </w:tc>
        <w:tc>
          <w:tcPr/>
          <w:p>
            <w:pPr>
              <w:pStyle w:val="Compact"/>
              <w:jc w:val="right"/>
            </w:pPr>
            <w:r>
              <w:t xml:space="preserve">Approximately 5% growth, implying roughly</w:t>
            </w:r>
            <w:r>
              <w:t xml:space="preserve"> </w:t>
            </w:r>
            <w:r>
              <w:rPr>
                <w:b/>
                <w:bCs/>
              </w:rPr>
              <w:t xml:space="preserve">$1.01B</w:t>
            </w:r>
          </w:p>
        </w:tc>
        <w:tc>
          <w:tcPr/>
          <w:p>
            <w:pPr>
              <w:pStyle w:val="Compact"/>
              <w:jc w:val="right"/>
            </w:pPr>
            <w:r>
              <w:t xml:space="preserve">Approximately</w:t>
            </w:r>
            <w:r>
              <w:t xml:space="preserve"> </w:t>
            </w:r>
            <w:r>
              <w:rPr>
                <w:b/>
                <w:bCs/>
              </w:rPr>
              <w:t xml:space="preserve">$1.02B</w:t>
            </w:r>
            <w:r>
              <w:t xml:space="preserve">, +5.4%</w:t>
            </w:r>
          </w:p>
        </w:tc>
        <w:tc>
          <w:tcPr/>
          <w:p>
            <w:pPr>
              <w:pStyle w:val="Compact"/>
              <w:jc w:val="right"/>
            </w:pPr>
            <w:r>
              <w:t xml:space="preserve">$964.5M</w:t>
            </w:r>
          </w:p>
        </w:tc>
      </w:tr>
      <w:tr>
        <w:tc>
          <w:tcPr/>
          <w:p>
            <w:pPr>
              <w:pStyle w:val="Compact"/>
            </w:pPr>
            <w:r>
              <w:t xml:space="preserve">Diluted EPS</w:t>
            </w:r>
          </w:p>
        </w:tc>
        <w:tc>
          <w:tcPr/>
          <w:p>
            <w:pPr>
              <w:pStyle w:val="Compact"/>
              <w:jc w:val="right"/>
            </w:pPr>
            <m:oMath>
              <m:r>
                <m:t>0.82</m:t>
              </m:r>
              <m:r>
                <m:rPr>
                  <m:sty m:val="p"/>
                </m:rPr>
                <m:t>–</m:t>
              </m:r>
            </m:oMath>
            <w:r>
              <w:rPr>
                <w:b/>
                <w:bCs/>
              </w:rPr>
              <w:t xml:space="preserve">0.87</w:t>
            </w:r>
          </w:p>
        </w:tc>
        <w:tc>
          <w:tcPr/>
          <w:p>
            <w:pPr>
              <w:pStyle w:val="Compact"/>
              <w:jc w:val="right"/>
            </w:pPr>
            <w:r>
              <w:t xml:space="preserve">Approximately</w:t>
            </w:r>
            <w:r>
              <w:t xml:space="preserve"> </w:t>
            </w:r>
            <w:r>
              <w:rPr>
                <w:b/>
                <w:bCs/>
              </w:rPr>
              <w:t xml:space="preserve">$0.88</w:t>
            </w:r>
          </w:p>
        </w:tc>
        <w:tc>
          <w:tcPr/>
          <w:p>
            <w:pPr>
              <w:pStyle w:val="Compact"/>
              <w:jc w:val="right"/>
            </w:pPr>
            <w:r>
              <w:t xml:space="preserve">$0.93</w:t>
            </w:r>
          </w:p>
        </w:tc>
      </w:tr>
      <w:tr>
        <w:tc>
          <w:tcPr/>
          <w:p>
            <w:pPr>
              <w:pStyle w:val="Compact"/>
            </w:pPr>
            <w:r>
              <w:t xml:space="preserve">HOKA revenue</w:t>
            </w:r>
          </w:p>
        </w:tc>
        <w:tc>
          <w:tcPr/>
          <w:p>
            <w:pPr>
              <w:pStyle w:val="Compact"/>
              <w:jc w:val="right"/>
            </w:pPr>
            <w:r>
              <w:t xml:space="preserve">High-single-digit growth</w:t>
            </w:r>
          </w:p>
        </w:tc>
        <w:tc>
          <w:tcPr/>
          <w:p>
            <w:pPr>
              <w:pStyle w:val="Compact"/>
              <w:jc w:val="right"/>
            </w:pPr>
            <w:r>
              <w:t xml:space="preserve">Approximately</w:t>
            </w:r>
            <w:r>
              <w:t xml:space="preserve"> </w:t>
            </w:r>
            <w:r>
              <w:rPr>
                <w:b/>
                <w:bCs/>
              </w:rPr>
              <w:t xml:space="preserve">$704M</w:t>
            </w:r>
            <w:r>
              <w:t xml:space="preserve">, +7.8%</w:t>
            </w:r>
          </w:p>
        </w:tc>
        <w:tc>
          <w:tcPr/>
          <w:p>
            <w:pPr>
              <w:pStyle w:val="Compact"/>
              <w:jc w:val="right"/>
            </w:pPr>
            <w:r>
              <w:t xml:space="preserve">$653.1M</w:t>
            </w:r>
          </w:p>
        </w:tc>
      </w:tr>
      <w:tr>
        <w:tc>
          <w:tcPr/>
          <w:p>
            <w:pPr>
              <w:pStyle w:val="Compact"/>
            </w:pPr>
            <w:r>
              <w:t xml:space="preserve">UGG revenue</w:t>
            </w:r>
          </w:p>
        </w:tc>
        <w:tc>
          <w:tcPr/>
          <w:p>
            <w:pPr>
              <w:pStyle w:val="Compact"/>
              <w:jc w:val="right"/>
            </w:pPr>
            <w:r>
              <w:t xml:space="preserve">Mid-single-digit growth</w:t>
            </w:r>
          </w:p>
        </w:tc>
        <w:tc>
          <w:tcPr/>
          <w:p>
            <w:pPr>
              <w:pStyle w:val="Compact"/>
              <w:jc w:val="right"/>
            </w:pPr>
            <w:r>
              <w:t xml:space="preserve">Approximately</w:t>
            </w:r>
            <w:r>
              <w:t xml:space="preserve"> </w:t>
            </w:r>
            <w:r>
              <w:rPr>
                <w:b/>
                <w:bCs/>
              </w:rPr>
              <w:t xml:space="preserve">$278M</w:t>
            </w:r>
            <w:r>
              <w:t xml:space="preserve">, +5.0%</w:t>
            </w:r>
          </w:p>
        </w:tc>
        <w:tc>
          <w:tcPr/>
          <w:p>
            <w:pPr>
              <w:pStyle w:val="Compact"/>
              <w:jc w:val="right"/>
            </w:pPr>
            <w:r>
              <w:t xml:space="preserve">$265.1M</w:t>
            </w:r>
          </w:p>
        </w:tc>
      </w:tr>
      <w:tr>
        <w:tc>
          <w:tcPr/>
          <w:p>
            <w:pPr>
              <w:pStyle w:val="Compact"/>
            </w:pPr>
            <w:r>
              <w:t xml:space="preserve">Wholesale revenue</w:t>
            </w:r>
          </w:p>
        </w:tc>
        <w:tc>
          <w:tcPr/>
          <w:p>
            <w:pPr>
              <w:pStyle w:val="Compact"/>
              <w:jc w:val="right"/>
            </w:pPr>
            <w:r>
              <w:t xml:space="preserve">—</w:t>
            </w:r>
          </w:p>
        </w:tc>
        <w:tc>
          <w:tcPr/>
          <w:p>
            <w:pPr>
              <w:pStyle w:val="Compact"/>
              <w:jc w:val="right"/>
            </w:pPr>
            <w:r>
              <w:t xml:space="preserve">Approximately</w:t>
            </w:r>
            <w:r>
              <w:t xml:space="preserve"> </w:t>
            </w:r>
            <w:r>
              <w:rPr>
                <w:b/>
                <w:bCs/>
              </w:rPr>
              <w:t xml:space="preserve">$677M</w:t>
            </w:r>
            <w:r>
              <w:t xml:space="preserve">, +3.8%</w:t>
            </w:r>
          </w:p>
        </w:tc>
        <w:tc>
          <w:tcPr/>
          <w:p>
            <w:pPr>
              <w:pStyle w:val="Compact"/>
              <w:jc w:val="right"/>
            </w:pPr>
            <w:r>
              <w:t xml:space="preserve">$652.4M</w:t>
            </w:r>
          </w:p>
        </w:tc>
      </w:tr>
      <w:tr>
        <w:tc>
          <w:tcPr/>
          <w:p>
            <w:pPr>
              <w:pStyle w:val="Compact"/>
            </w:pPr>
            <w:r>
              <w:t xml:space="preserve">DTC revenue</w:t>
            </w:r>
          </w:p>
        </w:tc>
        <w:tc>
          <w:tcPr/>
          <w:p>
            <w:pPr>
              <w:pStyle w:val="Compact"/>
              <w:jc w:val="right"/>
            </w:pPr>
            <w:r>
              <w:t xml:space="preserve">Primary HOKA growth driver</w:t>
            </w:r>
          </w:p>
        </w:tc>
        <w:tc>
          <w:tcPr/>
          <w:p>
            <w:pPr>
              <w:pStyle w:val="Compact"/>
              <w:jc w:val="right"/>
            </w:pPr>
            <w:r>
              <w:t xml:space="preserve">Approximately</w:t>
            </w:r>
            <w:r>
              <w:t xml:space="preserve"> </w:t>
            </w:r>
            <w:r>
              <w:rPr>
                <w:b/>
                <w:bCs/>
              </w:rPr>
              <w:t xml:space="preserve">$328M</w:t>
            </w:r>
            <w:r>
              <w:t xml:space="preserve">, +5.0%</w:t>
            </w:r>
          </w:p>
        </w:tc>
        <w:tc>
          <w:tcPr/>
          <w:p>
            <w:pPr>
              <w:pStyle w:val="Compact"/>
              <w:jc w:val="right"/>
            </w:pPr>
            <w:r>
              <w:t xml:space="preserve">$312.2M</w:t>
            </w:r>
          </w:p>
        </w:tc>
      </w:tr>
      <w:tr>
        <w:tc>
          <w:tcPr/>
          <w:p>
            <w:pPr>
              <w:pStyle w:val="Compact"/>
            </w:pPr>
            <w:r>
              <w:t xml:space="preserve">International revenue</w:t>
            </w:r>
          </w:p>
        </w:tc>
        <w:tc>
          <w:tcPr/>
          <w:p>
            <w:pPr>
              <w:pStyle w:val="Compact"/>
              <w:jc w:val="right"/>
            </w:pPr>
            <w:r>
              <w:t xml:space="preserve">Expected to outgrow the U.S.</w:t>
            </w:r>
          </w:p>
        </w:tc>
        <w:tc>
          <w:tcPr/>
          <w:p>
            <w:pPr>
              <w:pStyle w:val="Compact"/>
              <w:jc w:val="right"/>
            </w:pPr>
            <w:r>
              <w:t xml:space="preserve">Approximately</w:t>
            </w:r>
            <w:r>
              <w:t xml:space="preserve"> </w:t>
            </w:r>
            <w:r>
              <w:rPr>
                <w:b/>
                <w:bCs/>
              </w:rPr>
              <w:t xml:space="preserve">$512M</w:t>
            </w:r>
            <w:r>
              <w:t xml:space="preserve">, +10.6%</w:t>
            </w:r>
          </w:p>
        </w:tc>
        <w:tc>
          <w:tcPr/>
          <w:p>
            <w:pPr>
              <w:pStyle w:val="Compact"/>
              <w:jc w:val="right"/>
            </w:pPr>
            <w:r>
              <w:t xml:space="preserve">$463.3M</w:t>
            </w:r>
          </w:p>
        </w:tc>
      </w:tr>
      <w:tr>
        <w:tc>
          <w:tcPr/>
          <w:p>
            <w:pPr>
              <w:pStyle w:val="Compact"/>
            </w:pPr>
            <w:r>
              <w:t xml:space="preserve">Domestic revenue</w:t>
            </w:r>
          </w:p>
        </w:tc>
        <w:tc>
          <w:tcPr/>
          <w:p>
            <w:pPr>
              <w:pStyle w:val="Compact"/>
              <w:jc w:val="right"/>
            </w:pPr>
            <w:r>
              <w:t xml:space="preserve">Positive but slower</w:t>
            </w:r>
          </w:p>
        </w:tc>
        <w:tc>
          <w:tcPr/>
          <w:p>
            <w:pPr>
              <w:pStyle w:val="Compact"/>
              <w:jc w:val="right"/>
            </w:pPr>
            <w:r>
              <w:t xml:space="preserve">Approximately</w:t>
            </w:r>
            <w:r>
              <w:t xml:space="preserve"> </w:t>
            </w:r>
            <w:r>
              <w:rPr>
                <w:b/>
                <w:bCs/>
              </w:rPr>
              <w:t xml:space="preserve">$508M</w:t>
            </w:r>
            <w:r>
              <w:t xml:space="preserve">, +1.3%</w:t>
            </w:r>
          </w:p>
        </w:tc>
        <w:tc>
          <w:tcPr/>
          <w:p>
            <w:pPr>
              <w:pStyle w:val="Compact"/>
              <w:jc w:val="right"/>
            </w:pPr>
            <w:r>
              <w:t xml:space="preserve">$501.3M</w:t>
            </w:r>
          </w:p>
        </w:tc>
      </w:tr>
    </w:tbl>
    <w:p>
      <w:pPr>
        <w:pStyle w:val="BodyText"/>
      </w:pPr>
      <w:r>
        <w:t xml:space="preserve">Published consensus calls for $1.02 billion of revenue and $0.88 of EPS, while the brand, channel and geographic estimates imply continued international outperformance. (</w:t>
      </w:r>
      <w:hyperlink r:id="rId11">
        <w:r>
          <w:rPr>
            <w:rStyle w:val="Hyperlink"/>
          </w:rPr>
          <w:t xml:space="preserve">zacks.com</w:t>
        </w:r>
      </w:hyperlink>
      <w:r>
        <w:t xml:space="preserve">)</w:t>
      </w:r>
    </w:p>
    <w:p>
      <w:pPr>
        <w:pStyle w:val="BodyText"/>
      </w:pPr>
      <w:r>
        <w:t xml:space="preserve">The prior-year quarter delivered $964.5 million of revenue, $0.93 of EPS, a 55.8% gross margin and $165.3 million of operating income. HOKA and UGG grew 19.8% and 18.9%, respectively, while international sales rose nearly 50%. (</w:t>
      </w:r>
      <w:hyperlink r:id="rId12">
        <w:r>
          <w:rPr>
            <w:rStyle w:val="Hyperlink"/>
          </w:rPr>
          <w:t xml:space="preserve">ir.deckers.com</w:t>
        </w:r>
      </w:hyperlink>
      <w:r>
        <w:t xml:space="preserve">)</w:t>
      </w:r>
    </w:p>
    <w:bookmarkEnd w:id="13"/>
    <w:bookmarkStart w:id="21" w:name="the-five-issues-that-matter-most"/>
    <w:p>
      <w:pPr>
        <w:pStyle w:val="Heading2"/>
      </w:pPr>
      <w:r>
        <w:t xml:space="preserve">The five issues that matter most</w:t>
      </w:r>
    </w:p>
    <w:bookmarkStart w:id="14" w:name="Xa24130fb7ef3f4134de243b5f13dc9fc80a2dcb"/>
    <w:p>
      <w:pPr>
        <w:pStyle w:val="Heading3"/>
      </w:pPr>
      <w:r>
        <w:t xml:space="preserve">1. HOKA must demonstrate that Q1 is a timing trough</w:t>
      </w:r>
    </w:p>
    <w:p>
      <w:pPr>
        <w:pStyle w:val="FirstParagraph"/>
      </w:pPr>
      <w:r>
        <w:t xml:space="preserve">HOKA remains the most important variable for the investment case. Management expects low-double-digit growth for the full year but only high-single-digit growth in Q1 because of:</w:t>
      </w:r>
    </w:p>
    <w:p>
      <w:pPr>
        <w:pStyle w:val="Compact"/>
        <w:numPr>
          <w:ilvl w:val="0"/>
          <w:numId w:val="1001"/>
        </w:numPr>
      </w:pPr>
      <w:r>
        <w:t xml:space="preserve">An earlier EMEA shipment cadence in the prior-year comparison.</w:t>
      </w:r>
    </w:p>
    <w:p>
      <w:pPr>
        <w:pStyle w:val="Compact"/>
        <w:numPr>
          <w:ilvl w:val="0"/>
          <w:numId w:val="1001"/>
        </w:numPr>
      </w:pPr>
      <w:r>
        <w:t xml:space="preserve">Delayed APAC distributor shipments.</w:t>
      </w:r>
    </w:p>
    <w:p>
      <w:pPr>
        <w:pStyle w:val="Compact"/>
        <w:numPr>
          <w:ilvl w:val="0"/>
          <w:numId w:val="1001"/>
        </w:numPr>
      </w:pPr>
      <w:r>
        <w:t xml:space="preserve">Reduced shipments of outgoing Clifton models ahead of the July launch.</w:t>
      </w:r>
    </w:p>
    <w:p>
      <w:pPr>
        <w:pStyle w:val="Compact"/>
        <w:numPr>
          <w:ilvl w:val="0"/>
          <w:numId w:val="1001"/>
        </w:numPr>
      </w:pPr>
      <w:r>
        <w:t xml:space="preserve">A greater first-quarter contribution from DTC than wholesale.</w:t>
      </w:r>
    </w:p>
    <w:p>
      <w:pPr>
        <w:pStyle w:val="FirstParagraph"/>
      </w:pPr>
      <w:r>
        <w:t xml:space="preserve">Consensus appears reasonable at roughly</w:t>
      </w:r>
      <w:r>
        <w:t xml:space="preserve"> </w:t>
      </w:r>
      <w:r>
        <w:rPr>
          <w:b/>
          <w:bCs/>
        </w:rPr>
        <w:t xml:space="preserve">$704 million</w:t>
      </w:r>
      <w:r>
        <w:t xml:space="preserve">, or 7.8% growth. More important than the reported number will be management’s assessment of:</w:t>
      </w:r>
    </w:p>
    <w:p>
      <w:pPr>
        <w:pStyle w:val="Compact"/>
        <w:numPr>
          <w:ilvl w:val="0"/>
          <w:numId w:val="1002"/>
        </w:numPr>
      </w:pPr>
      <w:r>
        <w:t xml:space="preserve">Clifton 11 and Clifton Pro launch demand.</w:t>
      </w:r>
    </w:p>
    <w:p>
      <w:pPr>
        <w:pStyle w:val="Compact"/>
        <w:numPr>
          <w:ilvl w:val="0"/>
          <w:numId w:val="1002"/>
        </w:numPr>
      </w:pPr>
      <w:r>
        <w:t xml:space="preserve">Sell-through for Gaviota, Mach and Speedgoat.</w:t>
      </w:r>
    </w:p>
    <w:p>
      <w:pPr>
        <w:pStyle w:val="Compact"/>
        <w:numPr>
          <w:ilvl w:val="0"/>
          <w:numId w:val="1002"/>
        </w:numPr>
      </w:pPr>
      <w:r>
        <w:t xml:space="preserve">HOKA’s improving lifestyle presence through Bondi and Mafate.</w:t>
      </w:r>
    </w:p>
    <w:p>
      <w:pPr>
        <w:pStyle w:val="Compact"/>
        <w:numPr>
          <w:ilvl w:val="0"/>
          <w:numId w:val="1002"/>
        </w:numPr>
      </w:pPr>
      <w:r>
        <w:t xml:space="preserve">U.S. versus international growth.</w:t>
      </w:r>
    </w:p>
    <w:p>
      <w:pPr>
        <w:pStyle w:val="Compact"/>
        <w:numPr>
          <w:ilvl w:val="0"/>
          <w:numId w:val="1002"/>
        </w:numPr>
      </w:pPr>
      <w:r>
        <w:t xml:space="preserve">The health of wholesale order books and replenishment.</w:t>
      </w:r>
    </w:p>
    <w:p>
      <w:pPr>
        <w:pStyle w:val="FirstParagraph"/>
      </w:pPr>
      <w:r>
        <w:t xml:space="preserve">A high-single-digit quarter accompanied by strong sell-through and an accelerating Q2 outlook would be constructive. The same reported growth paired with softer orders or weaker U.S. demand would not be.</w:t>
      </w:r>
    </w:p>
    <w:bookmarkEnd w:id="14"/>
    <w:bookmarkStart w:id="15" w:name="X6e7ed78e493c319c3e1f5b278dd3b98653c5b6e"/>
    <w:p>
      <w:pPr>
        <w:pStyle w:val="Heading3"/>
      </w:pPr>
      <w:r>
        <w:t xml:space="preserve">2. Margin quality may determine whether an EPS beat is meaningful</w:t>
      </w:r>
    </w:p>
    <w:p>
      <w:pPr>
        <w:pStyle w:val="FirstParagraph"/>
      </w:pPr>
      <w:r>
        <w:t xml:space="preserve">Management expects Q1 gross margin to decline year over year, principally because of the carryover impact of tariffs on U.S.-bound products. Favorable currency and channel mix should provide partial offsets.</w:t>
      </w:r>
    </w:p>
    <w:p>
      <w:pPr>
        <w:pStyle w:val="BodyText"/>
      </w:pPr>
      <w:r>
        <w:t xml:space="preserve">At the same time, SG&amp;A is expected to grow at roughly</w:t>
      </w:r>
      <w:r>
        <w:t xml:space="preserve"> </w:t>
      </w:r>
      <w:r>
        <w:rPr>
          <w:b/>
          <w:bCs/>
        </w:rPr>
        <w:t xml:space="preserve">twice the rate of revenue</w:t>
      </w:r>
      <w:r>
        <w:t xml:space="preserve">, reflecting:</w:t>
      </w:r>
    </w:p>
    <w:p>
      <w:pPr>
        <w:pStyle w:val="Compact"/>
        <w:numPr>
          <w:ilvl w:val="0"/>
          <w:numId w:val="1003"/>
        </w:numPr>
      </w:pPr>
      <w:r>
        <w:t xml:space="preserve">Brand marketing.</w:t>
      </w:r>
    </w:p>
    <w:p>
      <w:pPr>
        <w:pStyle w:val="Compact"/>
        <w:numPr>
          <w:ilvl w:val="0"/>
          <w:numId w:val="1003"/>
        </w:numPr>
      </w:pPr>
      <w:r>
        <w:t xml:space="preserve">Technology investment.</w:t>
      </w:r>
    </w:p>
    <w:p>
      <w:pPr>
        <w:pStyle w:val="Compact"/>
        <w:numPr>
          <w:ilvl w:val="0"/>
          <w:numId w:val="1003"/>
        </w:numPr>
      </w:pPr>
      <w:r>
        <w:t xml:space="preserve">Annualization of recent hiring.</w:t>
      </w:r>
    </w:p>
    <w:p>
      <w:pPr>
        <w:pStyle w:val="Compact"/>
        <w:numPr>
          <w:ilvl w:val="0"/>
          <w:numId w:val="1003"/>
        </w:numPr>
      </w:pPr>
      <w:r>
        <w:t xml:space="preserve">Expansion of the HOKA retail network.</w:t>
      </w:r>
    </w:p>
    <w:p>
      <w:pPr>
        <w:pStyle w:val="Compact"/>
        <w:numPr>
          <w:ilvl w:val="0"/>
          <w:numId w:val="1003"/>
        </w:numPr>
      </w:pPr>
      <w:r>
        <w:t xml:space="preserve">Unfavorable comparisons with prior-year expense timing.</w:t>
      </w:r>
    </w:p>
    <w:p>
      <w:pPr>
        <w:pStyle w:val="FirstParagraph"/>
      </w:pPr>
      <w:r>
        <w:t xml:space="preserve">This combination explains why consensus EPS of $0.88 is below last year’s $0.93 despite revenue growth.</w:t>
      </w:r>
    </w:p>
    <w:p>
      <w:pPr>
        <w:pStyle w:val="BodyText"/>
      </w:pPr>
      <w:r>
        <w:t xml:space="preserve">The highest-quality beat would come from full-price selling, favorable product mix and lower-than-expected tariff or freight pressure. A beat driven mainly by reduced marketing or delayed investment would be less valuable because Deckers has framed fiscal 2027 as an investment year.</w:t>
      </w:r>
    </w:p>
    <w:bookmarkEnd w:id="15"/>
    <w:bookmarkStart w:id="16" w:name="Xc301846e3a1f969ddb6b5b722937cea0c697715"/>
    <w:p>
      <w:pPr>
        <w:pStyle w:val="Heading3"/>
      </w:pPr>
      <w:r>
        <w:t xml:space="preserve">3. UGG’s spring/summer strategy gets an early test</w:t>
      </w:r>
    </w:p>
    <w:p>
      <w:pPr>
        <w:pStyle w:val="FirstParagraph"/>
      </w:pPr>
      <w:r>
        <w:t xml:space="preserve">UGG’s fiscal Q1 contribution is relatively small compared with the holiday quarters, but it is strategically important. Management wants to make UGG a more balanced, year-round premium lifestyle brand through sneakers, sandals, clogs, apparel and increased engagement from male consumers.</w:t>
      </w:r>
    </w:p>
    <w:p>
      <w:pPr>
        <w:pStyle w:val="BodyText"/>
      </w:pPr>
      <w:r>
        <w:t xml:space="preserve">Consensus of approximately</w:t>
      </w:r>
      <w:r>
        <w:t xml:space="preserve"> </w:t>
      </w:r>
      <w:r>
        <w:rPr>
          <w:b/>
          <w:bCs/>
        </w:rPr>
        <w:t xml:space="preserve">$278 million</w:t>
      </w:r>
      <w:r>
        <w:t xml:space="preserve">, or 5% growth, is consistent with full-year guidance. Investors should focus on:</w:t>
      </w:r>
    </w:p>
    <w:p>
      <w:pPr>
        <w:pStyle w:val="Compact"/>
        <w:numPr>
          <w:ilvl w:val="0"/>
          <w:numId w:val="1004"/>
        </w:numPr>
      </w:pPr>
      <w:r>
        <w:t xml:space="preserve">Lowmel and other sneaker-franchise momentum.</w:t>
      </w:r>
    </w:p>
    <w:p>
      <w:pPr>
        <w:pStyle w:val="Compact"/>
        <w:numPr>
          <w:ilvl w:val="0"/>
          <w:numId w:val="1004"/>
        </w:numPr>
      </w:pPr>
      <w:r>
        <w:t xml:space="preserve">Sandal, clog and apparel sell-through.</w:t>
      </w:r>
    </w:p>
    <w:p>
      <w:pPr>
        <w:pStyle w:val="Compact"/>
        <w:numPr>
          <w:ilvl w:val="0"/>
          <w:numId w:val="1004"/>
        </w:numPr>
      </w:pPr>
      <w:r>
        <w:t xml:space="preserve">Growth among male consumers.</w:t>
      </w:r>
    </w:p>
    <w:p>
      <w:pPr>
        <w:pStyle w:val="Compact"/>
        <w:numPr>
          <w:ilvl w:val="0"/>
          <w:numId w:val="1004"/>
        </w:numPr>
      </w:pPr>
      <w:r>
        <w:t xml:space="preserve">International adoption.</w:t>
      </w:r>
    </w:p>
    <w:p>
      <w:pPr>
        <w:pStyle w:val="Compact"/>
        <w:numPr>
          <w:ilvl w:val="0"/>
          <w:numId w:val="1004"/>
        </w:numPr>
      </w:pPr>
      <w:r>
        <w:t xml:space="preserve">Whether UGG remains predominantly full price.</w:t>
      </w:r>
    </w:p>
    <w:p>
      <w:pPr>
        <w:pStyle w:val="FirstParagraph"/>
      </w:pPr>
      <w:r>
        <w:t xml:space="preserve">UGG materially exceeding mid-single-digit growth would improve confidence that the brand can compound without relying primarily on cold-weather products and holiday demand.</w:t>
      </w:r>
    </w:p>
    <w:bookmarkEnd w:id="16"/>
    <w:bookmarkStart w:id="18" w:name="Xcd324097a4655807bbf8d8a0a06e48406021ff1"/>
    <w:p>
      <w:pPr>
        <w:pStyle w:val="Heading3"/>
      </w:pPr>
      <w:r>
        <w:t xml:space="preserve">4. Q2 guidance is likely to move the stock more than Q1 results</w:t>
      </w:r>
    </w:p>
    <w:p>
      <w:pPr>
        <w:pStyle w:val="FirstParagraph"/>
      </w:pPr>
      <w:r>
        <w:t xml:space="preserve">The September quarter should include a fuller contribution from new HOKA products and fewer of Q1’s shipment-timing distortions. It is also a more important wholesale period for UGG.</w:t>
      </w:r>
    </w:p>
    <w:p>
      <w:pPr>
        <w:pStyle w:val="BodyText"/>
      </w:pPr>
      <w:r>
        <w:t xml:space="preserve">Current published consensus calls for approximately</w:t>
      </w:r>
      <w:r>
        <w:t xml:space="preserve"> </w:t>
      </w:r>
      <w:r>
        <w:rPr>
          <w:b/>
          <w:bCs/>
        </w:rPr>
        <w:t xml:space="preserve">$1.87 of Q2 EPS</w:t>
      </w:r>
      <w:r>
        <w:t xml:space="preserve">. (</w:t>
      </w:r>
      <w:hyperlink r:id="rId17">
        <w:r>
          <w:rPr>
            <w:rStyle w:val="Hyperlink"/>
          </w:rPr>
          <w:t xml:space="preserve">stage.zacks.com</w:t>
        </w:r>
      </w:hyperlink>
      <w:r>
        <w:t xml:space="preserve">)</w:t>
      </w:r>
    </w:p>
    <w:p>
      <w:pPr>
        <w:pStyle w:val="BodyText"/>
      </w:pPr>
      <w:r>
        <w:t xml:space="preserve">A credible outlook should show HOKA moving back toward low-double-digit growth. If management guides HOKA to another high-single-digit quarter without a clear explanation, investors may begin questioning the full-year algorithm.</w:t>
      </w:r>
    </w:p>
    <w:p>
      <w:pPr>
        <w:pStyle w:val="BodyText"/>
      </w:pPr>
      <w:r>
        <w:t xml:space="preserve">Other important Q2 guidance components include:</w:t>
      </w:r>
    </w:p>
    <w:p>
      <w:pPr>
        <w:pStyle w:val="Compact"/>
        <w:numPr>
          <w:ilvl w:val="0"/>
          <w:numId w:val="1005"/>
        </w:numPr>
      </w:pPr>
      <w:r>
        <w:t xml:space="preserve">Gross-margin progression as higher-cost inventory moves through the P&amp;L.</w:t>
      </w:r>
    </w:p>
    <w:p>
      <w:pPr>
        <w:pStyle w:val="Compact"/>
        <w:numPr>
          <w:ilvl w:val="0"/>
          <w:numId w:val="1005"/>
        </w:numPr>
      </w:pPr>
      <w:r>
        <w:t xml:space="preserve">SG&amp;A growth and the timing of marketing expenditures.</w:t>
      </w:r>
    </w:p>
    <w:p>
      <w:pPr>
        <w:pStyle w:val="Compact"/>
        <w:numPr>
          <w:ilvl w:val="0"/>
          <w:numId w:val="1005"/>
        </w:numPr>
      </w:pPr>
      <w:r>
        <w:t xml:space="preserve">Domestic versus international demand.</w:t>
      </w:r>
    </w:p>
    <w:p>
      <w:pPr>
        <w:pStyle w:val="Compact"/>
        <w:numPr>
          <w:ilvl w:val="0"/>
          <w:numId w:val="1005"/>
        </w:numPr>
      </w:pPr>
      <w:r>
        <w:t xml:space="preserve">UGG wholesale order strength entering fall.</w:t>
      </w:r>
    </w:p>
    <w:p>
      <w:pPr>
        <w:pStyle w:val="Compact"/>
        <w:numPr>
          <w:ilvl w:val="0"/>
          <w:numId w:val="1005"/>
        </w:numPr>
      </w:pPr>
      <w:r>
        <w:t xml:space="preserve">Inventory availability without sacrificing full-price selling.</w:t>
      </w:r>
    </w:p>
    <w:bookmarkEnd w:id="18"/>
    <w:bookmarkStart w:id="20" w:name="Xebff7ad1b4830be1f965a54ceb170aa4e5e8644"/>
    <w:p>
      <w:pPr>
        <w:pStyle w:val="Heading3"/>
      </w:pPr>
      <w:r>
        <w:t xml:space="preserve">5. Full-year guidance needs at least to be reaffirmed cleanly</w:t>
      </w:r>
    </w:p>
    <w:p>
      <w:pPr>
        <w:pStyle w:val="FirstParagraph"/>
      </w:pPr>
      <w:r>
        <w:t xml:space="preserve">Deckers’ fiscal 2027 guidance currently calls for:</w:t>
      </w:r>
    </w:p>
    <w:p>
      <w:pPr>
        <w:pStyle w:val="Compact"/>
        <w:numPr>
          <w:ilvl w:val="0"/>
          <w:numId w:val="1006"/>
        </w:numPr>
      </w:pPr>
      <w:r>
        <w:t xml:space="preserve">Revenue of</w:t>
      </w:r>
      <w:r>
        <w:t xml:space="preserve"> </w:t>
      </w:r>
      <m:oMath>
        <m:r>
          <m:t>5.86</m:t>
        </m:r>
        <m:r>
          <m:t>B</m:t>
        </m:r>
        <m:r>
          <m:rPr>
            <m:sty m:val="p"/>
          </m:rPr>
          <m:t>–</m:t>
        </m:r>
      </m:oMath>
      <w:r>
        <w:rPr>
          <w:b/>
          <w:bCs/>
        </w:rPr>
        <w:t xml:space="preserve">5.91B</w:t>
      </w:r>
      <w:r>
        <w:t xml:space="preserve">.</w:t>
      </w:r>
    </w:p>
    <w:p>
      <w:pPr>
        <w:pStyle w:val="Compact"/>
        <w:numPr>
          <w:ilvl w:val="0"/>
          <w:numId w:val="1006"/>
        </w:numPr>
      </w:pPr>
      <w:r>
        <w:t xml:space="preserve">HOKA growth in the</w:t>
      </w:r>
      <w:r>
        <w:t xml:space="preserve"> </w:t>
      </w:r>
      <w:r>
        <w:rPr>
          <w:b/>
          <w:bCs/>
        </w:rPr>
        <w:t xml:space="preserve">low double digits</w:t>
      </w:r>
      <w:r>
        <w:t xml:space="preserve">.</w:t>
      </w:r>
    </w:p>
    <w:p>
      <w:pPr>
        <w:pStyle w:val="Compact"/>
        <w:numPr>
          <w:ilvl w:val="0"/>
          <w:numId w:val="1006"/>
        </w:numPr>
      </w:pPr>
      <w:r>
        <w:t xml:space="preserve">UGG growth in the</w:t>
      </w:r>
      <w:r>
        <w:t xml:space="preserve"> </w:t>
      </w:r>
      <w:r>
        <w:rPr>
          <w:b/>
          <w:bCs/>
        </w:rPr>
        <w:t xml:space="preserve">mid-single digits</w:t>
      </w:r>
      <w:r>
        <w:t xml:space="preserve">.</w:t>
      </w:r>
    </w:p>
    <w:p>
      <w:pPr>
        <w:pStyle w:val="Compact"/>
        <w:numPr>
          <w:ilvl w:val="0"/>
          <w:numId w:val="1006"/>
        </w:numPr>
      </w:pPr>
      <w:r>
        <w:t xml:space="preserve">Gross margin of approximately</w:t>
      </w:r>
      <w:r>
        <w:t xml:space="preserve"> </w:t>
      </w:r>
      <w:r>
        <w:rPr>
          <w:b/>
          <w:bCs/>
        </w:rPr>
        <w:t xml:space="preserve">56.5%</w:t>
      </w:r>
      <w:r>
        <w:t xml:space="preserve">.</w:t>
      </w:r>
    </w:p>
    <w:p>
      <w:pPr>
        <w:pStyle w:val="Compact"/>
        <w:numPr>
          <w:ilvl w:val="0"/>
          <w:numId w:val="1006"/>
        </w:numPr>
      </w:pPr>
      <w:r>
        <w:t xml:space="preserve">SG&amp;A at approximately</w:t>
      </w:r>
      <w:r>
        <w:t xml:space="preserve"> </w:t>
      </w:r>
      <w:r>
        <w:rPr>
          <w:b/>
          <w:bCs/>
        </w:rPr>
        <w:t xml:space="preserve">35% of revenue</w:t>
      </w:r>
      <w:r>
        <w:t xml:space="preserve">.</w:t>
      </w:r>
    </w:p>
    <w:p>
      <w:pPr>
        <w:pStyle w:val="Compact"/>
        <w:numPr>
          <w:ilvl w:val="0"/>
          <w:numId w:val="1006"/>
        </w:numPr>
      </w:pPr>
      <w:r>
        <w:t xml:space="preserve">Operating margin of approximately</w:t>
      </w:r>
      <w:r>
        <w:t xml:space="preserve"> </w:t>
      </w:r>
      <w:r>
        <w:rPr>
          <w:b/>
          <w:bCs/>
        </w:rPr>
        <w:t xml:space="preserve">21.5%</w:t>
      </w:r>
      <w:r>
        <w:t xml:space="preserve">.</w:t>
      </w:r>
    </w:p>
    <w:p>
      <w:pPr>
        <w:pStyle w:val="Compact"/>
        <w:numPr>
          <w:ilvl w:val="0"/>
          <w:numId w:val="1006"/>
        </w:numPr>
      </w:pPr>
      <w:r>
        <w:t xml:space="preserve">EPS of</w:t>
      </w:r>
      <w:r>
        <w:t xml:space="preserve"> </w:t>
      </w:r>
      <m:oMath>
        <m:r>
          <m:t>7.30</m:t>
        </m:r>
        <m:r>
          <m:rPr>
            <m:sty m:val="p"/>
          </m:rPr>
          <m:t>–</m:t>
        </m:r>
      </m:oMath>
      <w:r>
        <w:rPr>
          <w:b/>
          <w:bCs/>
        </w:rPr>
        <w:t xml:space="preserve">7.45</w:t>
      </w:r>
      <w:r>
        <w:t xml:space="preserve">.</w:t>
      </w:r>
    </w:p>
    <w:p>
      <w:pPr>
        <w:pStyle w:val="FirstParagraph"/>
      </w:pPr>
      <w:r>
        <w:t xml:space="preserve">The guidance also assumes that Deckers repurchases shares equal to approximately 80% of projected free cash flow. (</w:t>
      </w:r>
      <w:hyperlink r:id="rId19">
        <w:r>
          <w:rPr>
            <w:rStyle w:val="Hyperlink"/>
          </w:rPr>
          <w:t xml:space="preserve">ir.deckers.com</w:t>
        </w:r>
      </w:hyperlink>
      <w:r>
        <w:t xml:space="preserve">)</w:t>
      </w:r>
    </w:p>
    <w:p>
      <w:pPr>
        <w:pStyle w:val="BodyText"/>
      </w:pPr>
      <w:r>
        <w:t xml:space="preserve">The Street’s fiscal-year EPS estimate is approximately</w:t>
      </w:r>
      <w:r>
        <w:t xml:space="preserve"> </w:t>
      </w:r>
      <w:r>
        <w:rPr>
          <w:b/>
          <w:bCs/>
        </w:rPr>
        <w:t xml:space="preserve">$7.46</w:t>
      </w:r>
      <w:r>
        <w:t xml:space="preserve">, already slightly above management’s range. That means a simple reaffirmation may be adequate fundamentally but may not produce much estimate upside. A positive reaction likely requires either a guidance increase or commentary that makes a later raise appear likely.</w:t>
      </w:r>
    </w:p>
    <w:bookmarkEnd w:id="20"/>
    <w:bookmarkEnd w:id="21"/>
    <w:bookmarkStart w:id="23" w:name="balance-sheet-and-capital-allocation"/>
    <w:p>
      <w:pPr>
        <w:pStyle w:val="Heading2"/>
      </w:pPr>
      <w:r>
        <w:t xml:space="preserve">Balance sheet and capital allocation</w:t>
      </w:r>
    </w:p>
    <w:p>
      <w:pPr>
        <w:pStyle w:val="FirstParagraph"/>
      </w:pPr>
      <w:r>
        <w:t xml:space="preserve">Deckers ended fiscal 2026 with:</w:t>
      </w:r>
    </w:p>
    <w:p>
      <w:pPr>
        <w:pStyle w:val="Compact"/>
        <w:numPr>
          <w:ilvl w:val="0"/>
          <w:numId w:val="1007"/>
        </w:numPr>
      </w:pPr>
      <w:r>
        <w:rPr>
          <w:b/>
          <w:bCs/>
        </w:rPr>
        <w:t xml:space="preserve">$1.91 billion of cash</w:t>
      </w:r>
      <w:r>
        <w:t xml:space="preserve">.</w:t>
      </w:r>
    </w:p>
    <w:p>
      <w:pPr>
        <w:pStyle w:val="Compact"/>
        <w:numPr>
          <w:ilvl w:val="0"/>
          <w:numId w:val="1007"/>
        </w:numPr>
      </w:pPr>
      <w:r>
        <w:rPr>
          <w:b/>
          <w:bCs/>
        </w:rPr>
        <w:t xml:space="preserve">No outstanding borrowings</w:t>
      </w:r>
      <w:r>
        <w:t xml:space="preserve">.</w:t>
      </w:r>
    </w:p>
    <w:p>
      <w:pPr>
        <w:pStyle w:val="Compact"/>
        <w:numPr>
          <w:ilvl w:val="0"/>
          <w:numId w:val="1007"/>
        </w:numPr>
      </w:pPr>
      <w:r>
        <w:t xml:space="preserve">$487 million of inventory, down 2% year over year.</w:t>
      </w:r>
    </w:p>
    <w:p>
      <w:pPr>
        <w:pStyle w:val="Compact"/>
        <w:numPr>
          <w:ilvl w:val="0"/>
          <w:numId w:val="1007"/>
        </w:numPr>
      </w:pPr>
      <w:r>
        <w:t xml:space="preserve">More than $1 billion of fiscal-year free cash flow.</w:t>
      </w:r>
    </w:p>
    <w:p>
      <w:pPr>
        <w:pStyle w:val="Compact"/>
        <w:numPr>
          <w:ilvl w:val="0"/>
          <w:numId w:val="1007"/>
        </w:numPr>
      </w:pPr>
      <w:r>
        <w:t xml:space="preserve">Approximately</w:t>
      </w:r>
      <w:r>
        <w:t xml:space="preserve"> </w:t>
      </w:r>
      <w:r>
        <w:rPr>
          <w:b/>
          <w:bCs/>
        </w:rPr>
        <w:t xml:space="preserve">$5 billion of authorized repurchase capacity</w:t>
      </w:r>
      <w:r>
        <w:t xml:space="preserve"> </w:t>
      </w:r>
      <w:r>
        <w:t xml:space="preserve">following the latest authorization increase. (</w:t>
      </w:r>
      <w:hyperlink r:id="rId22">
        <w:r>
          <w:rPr>
            <w:rStyle w:val="Hyperlink"/>
          </w:rPr>
          <w:t xml:space="preserve">ir.deckers.com</w:t>
        </w:r>
      </w:hyperlink>
      <w:r>
        <w:t xml:space="preserve">)</w:t>
      </w:r>
    </w:p>
    <w:p>
      <w:pPr>
        <w:pStyle w:val="FirstParagraph"/>
      </w:pPr>
      <w:r>
        <w:t xml:space="preserve">The company repurchased $1.075 billion of shares in fiscal 2026 at an average price of $102.43—almost exactly where the stock recently traded. Repurchases should continue to support EPS, although investors should separate share-count-driven EPS growth from underlying operating-income growth.</w:t>
      </w:r>
    </w:p>
    <w:bookmarkEnd w:id="23"/>
    <w:bookmarkStart w:id="25" w:name="valuation-and-event-risk"/>
    <w:p>
      <w:pPr>
        <w:pStyle w:val="Heading2"/>
      </w:pPr>
      <w:r>
        <w:t xml:space="preserve">Valuation and event risk</w:t>
      </w:r>
    </w:p>
    <w:p>
      <w:pPr>
        <w:pStyle w:val="FirstParagraph"/>
      </w:pPr>
      <w:r>
        <w:t xml:space="preserve">DECK closed July 22 at approximately</w:t>
      </w:r>
      <w:r>
        <w:t xml:space="preserve"> </w:t>
      </w:r>
      <w:r>
        <w:rPr>
          <w:b/>
          <w:bCs/>
        </w:rPr>
        <w:t xml:space="preserve">$102.50</w:t>
      </w:r>
      <w:r>
        <w:t xml:space="preserve">, essentially unchanged from its May 21 earnings-day close and down roughly 4% from the beginning of 2026. At that price, the stock trades around:</w:t>
      </w:r>
    </w:p>
    <w:p>
      <w:pPr>
        <w:pStyle w:val="Compact"/>
        <w:numPr>
          <w:ilvl w:val="0"/>
          <w:numId w:val="1008"/>
        </w:numPr>
      </w:pPr>
      <w:r>
        <w:rPr>
          <w:b/>
          <w:bCs/>
        </w:rPr>
        <w:t xml:space="preserve">13.9×</w:t>
      </w:r>
      <w:r>
        <w:t xml:space="preserve"> </w:t>
      </w:r>
      <w:r>
        <w:t xml:space="preserve">the midpoint of management’s FY2027 EPS guidance.</w:t>
      </w:r>
    </w:p>
    <w:p>
      <w:pPr>
        <w:pStyle w:val="Compact"/>
        <w:numPr>
          <w:ilvl w:val="0"/>
          <w:numId w:val="1008"/>
        </w:numPr>
      </w:pPr>
      <w:r>
        <w:rPr>
          <w:b/>
          <w:bCs/>
        </w:rPr>
        <w:t xml:space="preserve">13.7×</w:t>
      </w:r>
      <w:r>
        <w:t xml:space="preserve"> </w:t>
      </w:r>
      <w:r>
        <w:t xml:space="preserve">the current $7.46 consensus estimate.</w:t>
      </w:r>
    </w:p>
    <w:p>
      <w:pPr>
        <w:pStyle w:val="FirstParagraph"/>
      </w:pPr>
      <w:r>
        <w:t xml:space="preserve">That is not a demanding headline multiple for a debt-free company targeting high-single-digit revenue and longer-term low-double-digit EPS growth. But the lower valuation also reflects concerns about slower HOKA growth, tariff-related margin pressure and whether Deckers’ historically exceptional execution is normalizing.</w:t>
      </w:r>
    </w:p>
    <w:p>
      <w:pPr>
        <w:pStyle w:val="BodyText"/>
      </w:pPr>
      <w:r>
        <w:t xml:space="preserve">The stock has also remained highly sensitive to earnings. Its one-day reactions following the four preceding reports were approximately</w:t>
      </w:r>
      <w:r>
        <w:t xml:space="preserve"> </w:t>
      </w:r>
      <w:r>
        <w:rPr>
          <w:b/>
          <w:bCs/>
        </w:rPr>
        <w:t xml:space="preserve">+4%, +19%, -15% and +11%</w:t>
      </w:r>
      <w:r>
        <w:t xml:space="preserve">, underscoring that guidance and qualitative commentary can overwhelm the headline beat or miss. (</w:t>
      </w:r>
      <w:hyperlink r:id="rId24">
        <w:r>
          <w:rPr>
            <w:rStyle w:val="Hyperlink"/>
          </w:rPr>
          <w:t xml:space="preserve">tipranks.com</w:t>
        </w:r>
      </w:hyperlink>
      <w:r>
        <w:t xml:space="preserve">)</w:t>
      </w:r>
    </w:p>
    <w:bookmarkEnd w:id="25"/>
    <w:bookmarkStart w:id="29" w:name="scenario-framework"/>
    <w:p>
      <w:pPr>
        <w:pStyle w:val="Heading2"/>
      </w:pPr>
      <w:r>
        <w:t xml:space="preserve">Scenario framework</w:t>
      </w:r>
    </w:p>
    <w:bookmarkStart w:id="26" w:name="bull-case"/>
    <w:p>
      <w:pPr>
        <w:pStyle w:val="Heading3"/>
      </w:pPr>
      <w:r>
        <w:t xml:space="preserve">Bull case</w:t>
      </w:r>
    </w:p>
    <w:p>
      <w:pPr>
        <w:pStyle w:val="Compact"/>
        <w:numPr>
          <w:ilvl w:val="0"/>
          <w:numId w:val="1009"/>
        </w:numPr>
      </w:pPr>
      <w:r>
        <w:t xml:space="preserve">Revenue above roughly</w:t>
      </w:r>
      <w:r>
        <w:t xml:space="preserve"> </w:t>
      </w:r>
      <w:r>
        <w:rPr>
          <w:b/>
          <w:bCs/>
        </w:rPr>
        <w:t xml:space="preserve">$1.03 billion</w:t>
      </w:r>
      <w:r>
        <w:t xml:space="preserve">.</w:t>
      </w:r>
    </w:p>
    <w:p>
      <w:pPr>
        <w:pStyle w:val="Compact"/>
        <w:numPr>
          <w:ilvl w:val="0"/>
          <w:numId w:val="1009"/>
        </w:numPr>
      </w:pPr>
      <w:r>
        <w:t xml:space="preserve">EPS above</w:t>
      </w:r>
      <w:r>
        <w:t xml:space="preserve"> </w:t>
      </w:r>
      <w:r>
        <w:rPr>
          <w:b/>
          <w:bCs/>
        </w:rPr>
        <w:t xml:space="preserve">$0.90</w:t>
      </w:r>
      <w:r>
        <w:t xml:space="preserve">, supported by better gross margin rather than spending delays.</w:t>
      </w:r>
    </w:p>
    <w:p>
      <w:pPr>
        <w:pStyle w:val="Compact"/>
        <w:numPr>
          <w:ilvl w:val="0"/>
          <w:numId w:val="1009"/>
        </w:numPr>
      </w:pPr>
      <w:r>
        <w:t xml:space="preserve">HOKA growth at or above the top end of high single digits.</w:t>
      </w:r>
    </w:p>
    <w:p>
      <w:pPr>
        <w:pStyle w:val="Compact"/>
        <w:numPr>
          <w:ilvl w:val="0"/>
          <w:numId w:val="1009"/>
        </w:numPr>
      </w:pPr>
      <w:r>
        <w:t xml:space="preserve">Positive Clifton launch and wholesale-order commentary.</w:t>
      </w:r>
    </w:p>
    <w:p>
      <w:pPr>
        <w:pStyle w:val="Compact"/>
        <w:numPr>
          <w:ilvl w:val="0"/>
          <w:numId w:val="1009"/>
        </w:numPr>
      </w:pPr>
      <w:r>
        <w:t xml:space="preserve">Q2 guidance above consensus.</w:t>
      </w:r>
    </w:p>
    <w:p>
      <w:pPr>
        <w:pStyle w:val="Compact"/>
        <w:numPr>
          <w:ilvl w:val="0"/>
          <w:numId w:val="1009"/>
        </w:numPr>
      </w:pPr>
      <w:r>
        <w:t xml:space="preserve">FY2027 EPS guidance raised or narrowed upward.</w:t>
      </w:r>
    </w:p>
    <w:p>
      <w:pPr>
        <w:pStyle w:val="FirstParagraph"/>
      </w:pPr>
      <w:r>
        <w:t xml:space="preserve">This would support the view that Q1 was merely a timing trough and could drive multiple recovery.</w:t>
      </w:r>
    </w:p>
    <w:bookmarkEnd w:id="26"/>
    <w:bookmarkStart w:id="27" w:name="base-case"/>
    <w:p>
      <w:pPr>
        <w:pStyle w:val="Heading3"/>
      </w:pPr>
      <w:r>
        <w:t xml:space="preserve">Base case</w:t>
      </w:r>
    </w:p>
    <w:p>
      <w:pPr>
        <w:pStyle w:val="Compact"/>
        <w:numPr>
          <w:ilvl w:val="0"/>
          <w:numId w:val="1010"/>
        </w:numPr>
      </w:pPr>
      <w:r>
        <w:t xml:space="preserve">Revenue near</w:t>
      </w:r>
      <w:r>
        <w:t xml:space="preserve"> </w:t>
      </w:r>
      <m:oMath>
        <m:r>
          <m:t>1.01</m:t>
        </m:r>
        <m:r>
          <m:t>B</m:t>
        </m:r>
        <m:r>
          <m:rPr>
            <m:sty m:val="p"/>
          </m:rPr>
          <m:t>–</m:t>
        </m:r>
      </m:oMath>
      <w:r>
        <w:rPr>
          <w:b/>
          <w:bCs/>
        </w:rPr>
        <w:t xml:space="preserve">1.02B</w:t>
      </w:r>
      <w:r>
        <w:t xml:space="preserve">.</w:t>
      </w:r>
    </w:p>
    <w:p>
      <w:pPr>
        <w:pStyle w:val="Compact"/>
        <w:numPr>
          <w:ilvl w:val="0"/>
          <w:numId w:val="1010"/>
        </w:numPr>
      </w:pPr>
      <w:r>
        <w:t xml:space="preserve">EPS of approximately</w:t>
      </w:r>
      <w:r>
        <w:t xml:space="preserve"> </w:t>
      </w:r>
      <m:oMath>
        <m:r>
          <m:t>0.86</m:t>
        </m:r>
        <m:r>
          <m:rPr>
            <m:sty m:val="p"/>
          </m:rPr>
          <m:t>–</m:t>
        </m:r>
      </m:oMath>
      <w:r>
        <w:rPr>
          <w:b/>
          <w:bCs/>
        </w:rPr>
        <w:t xml:space="preserve">0.90</w:t>
      </w:r>
      <w:r>
        <w:t xml:space="preserve">.</w:t>
      </w:r>
    </w:p>
    <w:p>
      <w:pPr>
        <w:pStyle w:val="Compact"/>
        <w:numPr>
          <w:ilvl w:val="0"/>
          <w:numId w:val="1010"/>
        </w:numPr>
      </w:pPr>
      <w:r>
        <w:t xml:space="preserve">HOKA up high single digits and UGG up mid-single digits.</w:t>
      </w:r>
    </w:p>
    <w:p>
      <w:pPr>
        <w:pStyle w:val="Compact"/>
        <w:numPr>
          <w:ilvl w:val="0"/>
          <w:numId w:val="1010"/>
        </w:numPr>
      </w:pPr>
      <w:r>
        <w:t xml:space="preserve">Gross margin down as expected.</w:t>
      </w:r>
    </w:p>
    <w:p>
      <w:pPr>
        <w:pStyle w:val="Compact"/>
        <w:numPr>
          <w:ilvl w:val="0"/>
          <w:numId w:val="1010"/>
        </w:numPr>
      </w:pPr>
      <w:r>
        <w:t xml:space="preserve">Full-year guidance reaffirmed.</w:t>
      </w:r>
    </w:p>
    <w:p>
      <w:pPr>
        <w:pStyle w:val="Compact"/>
        <w:numPr>
          <w:ilvl w:val="0"/>
          <w:numId w:val="1010"/>
        </w:numPr>
      </w:pPr>
      <w:r>
        <w:t xml:space="preserve">Q2 guidance broadly consistent with the planned HOKA acceleration.</w:t>
      </w:r>
    </w:p>
    <w:p>
      <w:pPr>
        <w:pStyle w:val="FirstParagraph"/>
      </w:pPr>
      <w:r>
        <w:t xml:space="preserve">This would preserve the thesis, although the stock reaction may be muted without incremental guidance upside.</w:t>
      </w:r>
    </w:p>
    <w:bookmarkEnd w:id="27"/>
    <w:bookmarkStart w:id="28" w:name="bear-case"/>
    <w:p>
      <w:pPr>
        <w:pStyle w:val="Heading3"/>
      </w:pPr>
      <w:r>
        <w:t xml:space="preserve">Bear case</w:t>
      </w:r>
    </w:p>
    <w:p>
      <w:pPr>
        <w:pStyle w:val="Compact"/>
        <w:numPr>
          <w:ilvl w:val="0"/>
          <w:numId w:val="1011"/>
        </w:numPr>
      </w:pPr>
      <w:r>
        <w:t xml:space="preserve">Revenue below approximately</w:t>
      </w:r>
      <w:r>
        <w:t xml:space="preserve"> </w:t>
      </w:r>
      <w:r>
        <w:rPr>
          <w:b/>
          <w:bCs/>
        </w:rPr>
        <w:t xml:space="preserve">$1.00 billion</w:t>
      </w:r>
      <w:r>
        <w:t xml:space="preserve">.</w:t>
      </w:r>
    </w:p>
    <w:p>
      <w:pPr>
        <w:pStyle w:val="Compact"/>
        <w:numPr>
          <w:ilvl w:val="0"/>
          <w:numId w:val="1011"/>
        </w:numPr>
      </w:pPr>
      <w:r>
        <w:t xml:space="preserve">EPS below the $0.82 guidance floor.</w:t>
      </w:r>
    </w:p>
    <w:p>
      <w:pPr>
        <w:pStyle w:val="Compact"/>
        <w:numPr>
          <w:ilvl w:val="0"/>
          <w:numId w:val="1011"/>
        </w:numPr>
      </w:pPr>
      <w:r>
        <w:t xml:space="preserve">HOKA growth slips toward mid-single digits.</w:t>
      </w:r>
    </w:p>
    <w:p>
      <w:pPr>
        <w:pStyle w:val="Compact"/>
        <w:numPr>
          <w:ilvl w:val="0"/>
          <w:numId w:val="1011"/>
        </w:numPr>
      </w:pPr>
      <w:r>
        <w:t xml:space="preserve">Domestic weakness broadens beyond timing effects.</w:t>
      </w:r>
    </w:p>
    <w:p>
      <w:pPr>
        <w:pStyle w:val="Compact"/>
        <w:numPr>
          <w:ilvl w:val="0"/>
          <w:numId w:val="1011"/>
        </w:numPr>
      </w:pPr>
      <w:r>
        <w:t xml:space="preserve">Higher promotions, excess channel inventory or a larger gross-margin decline.</w:t>
      </w:r>
    </w:p>
    <w:p>
      <w:pPr>
        <w:pStyle w:val="Compact"/>
        <w:numPr>
          <w:ilvl w:val="0"/>
          <w:numId w:val="1011"/>
        </w:numPr>
      </w:pPr>
      <w:r>
        <w:t xml:space="preserve">Q2 guidance fails to show acceleration.</w:t>
      </w:r>
    </w:p>
    <w:p>
      <w:pPr>
        <w:pStyle w:val="Compact"/>
        <w:numPr>
          <w:ilvl w:val="0"/>
          <w:numId w:val="1011"/>
        </w:numPr>
      </w:pPr>
      <w:r>
        <w:t xml:space="preserve">Full-year margin or EPS guidance is reduced.</w:t>
      </w:r>
    </w:p>
    <w:p>
      <w:pPr>
        <w:pStyle w:val="FirstParagraph"/>
      </w:pPr>
      <w:r>
        <w:t xml:space="preserve">That outcome would raise concerns that slower demand—not simply shipment timing—is driving the Q1 deceleration.</w:t>
      </w:r>
    </w:p>
    <w:bookmarkEnd w:id="28"/>
    <w:bookmarkEnd w:id="29"/>
    <w:bookmarkStart w:id="30" w:name="bottom-line"/>
    <w:p>
      <w:pPr>
        <w:pStyle w:val="Heading2"/>
      </w:pPr>
      <w:r>
        <w:t xml:space="preserve">Bottom line</w:t>
      </w:r>
    </w:p>
    <w:p>
      <w:pPr>
        <w:pStyle w:val="FirstParagraph"/>
      </w:pPr>
      <w:r>
        <w:t xml:space="preserve">This is principally a</w:t>
      </w:r>
      <w:r>
        <w:t xml:space="preserve"> </w:t>
      </w:r>
      <w:r>
        <w:rPr>
          <w:b/>
          <w:bCs/>
        </w:rPr>
        <w:t xml:space="preserve">forward-looking report</w:t>
      </w:r>
      <w:r>
        <w:t xml:space="preserve">. Management has already established a low Q1 hurdle, and published EPS consensus is only one cent above the company’s guidance range. Therefore, a modest headline beat should not be treated as sufficient by itself.</w:t>
      </w:r>
    </w:p>
    <w:p>
      <w:pPr>
        <w:pStyle w:val="BodyText"/>
      </w:pPr>
      <w:r>
        <w:t xml:space="preserve">The constructive thesis requires three things:</w:t>
      </w:r>
    </w:p>
    <w:p>
      <w:pPr>
        <w:pStyle w:val="Compact"/>
        <w:numPr>
          <w:ilvl w:val="0"/>
          <w:numId w:val="1012"/>
        </w:numPr>
      </w:pPr>
      <w:r>
        <w:rPr>
          <w:b/>
          <w:bCs/>
        </w:rPr>
        <w:t xml:space="preserve">HOKA’s Q1 deceleration is demonstrably timing-related.</w:t>
      </w:r>
    </w:p>
    <w:p>
      <w:pPr>
        <w:pStyle w:val="Compact"/>
        <w:numPr>
          <w:ilvl w:val="0"/>
          <w:numId w:val="1012"/>
        </w:numPr>
      </w:pPr>
      <w:r>
        <w:rPr>
          <w:b/>
          <w:bCs/>
        </w:rPr>
        <w:t xml:space="preserve">Q2 guidance restores a path toward low-double-digit HOKA growth.</w:t>
      </w:r>
    </w:p>
    <w:p>
      <w:pPr>
        <w:pStyle w:val="Compact"/>
        <w:numPr>
          <w:ilvl w:val="0"/>
          <w:numId w:val="1012"/>
        </w:numPr>
      </w:pPr>
      <w:r>
        <w:rPr>
          <w:b/>
          <w:bCs/>
        </w:rPr>
        <w:t xml:space="preserve">Tariffs and investment spending do not create additional downside to full-year margins.</w:t>
      </w:r>
    </w:p>
    <w:p>
      <w:pPr>
        <w:pStyle w:val="FirstParagraph"/>
      </w:pPr>
      <w:r>
        <w:t xml:space="preserve">At roughly 14× fiscal-year earnings with substantial net cash and buyback capacity, expectations embedded in the valuation appear restrained. But for the stock to rerate, Deckers needs to show that its fiscal 2027 growth framework remains powered by consumer demand and full-price sell-through—not primarily by repurchases and conservative guidance.</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r.deckers.com/" TargetMode="External" /><Relationship Type="http://schemas.openxmlformats.org/officeDocument/2006/relationships/hyperlink" Id="rId12" Target="https://ir.deckers.com/news-events/press-releases/detail/225/deckers-brands-reports-first-quarter-fiscal-year-2026-financial-results" TargetMode="External" /><Relationship Type="http://schemas.openxmlformats.org/officeDocument/2006/relationships/hyperlink" Id="rId19" Target="https://ir.deckers.com/news-events/press-releases/detail/656/deckers-brands-reports-fourth-quarter-and-full-fiscal-year-2026-financial-results?utm_source=openai" TargetMode="External" /><Relationship Type="http://schemas.openxmlformats.org/officeDocument/2006/relationships/hyperlink" Id="rId22" Target="https://ir.deckers.com/sec-filings/all-sec-filings/content/0000910521-26-000007/deckex991pressrelease-3312.htm?utm_source=openai" TargetMode="External" /><Relationship Type="http://schemas.openxmlformats.org/officeDocument/2006/relationships/hyperlink" Id="rId17" Target="https://stage.zacks.com/stock/quote/DECK/detailed-earning-estimates?icid=SITE_SECTION-SUB_SECTION-quote_nav_tracking-zcom-left_subnav_quote_navbar-detailed_earning_estimates&amp;utm_source=openai" TargetMode="External" /><Relationship Type="http://schemas.openxmlformats.org/officeDocument/2006/relationships/hyperlink" Id="rId24" Target="https://www.tipranks.com/stocks/deck/earnings" TargetMode="External" /><Relationship Type="http://schemas.openxmlformats.org/officeDocument/2006/relationships/hyperlink" Id="rId11" Target="https://www.zacks.com/stock/news/2956190/ahead-of-deckers-deck-q1-earnings-get-ready-with-wall-street-estimates-for-key-metrics?art_rec=blog-fundamental_analysis-up_next-ID01-txt-2956190&amp;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r.deckers.com/" TargetMode="External" /><Relationship Type="http://schemas.openxmlformats.org/officeDocument/2006/relationships/hyperlink" Id="rId12" Target="https://ir.deckers.com/news-events/press-releases/detail/225/deckers-brands-reports-first-quarter-fiscal-year-2026-financial-results" TargetMode="External" /><Relationship Type="http://schemas.openxmlformats.org/officeDocument/2006/relationships/hyperlink" Id="rId19" Target="https://ir.deckers.com/news-events/press-releases/detail/656/deckers-brands-reports-fourth-quarter-and-full-fiscal-year-2026-financial-results?utm_source=openai" TargetMode="External" /><Relationship Type="http://schemas.openxmlformats.org/officeDocument/2006/relationships/hyperlink" Id="rId22" Target="https://ir.deckers.com/sec-filings/all-sec-filings/content/0000910521-26-000007/deckex991pressrelease-3312.htm?utm_source=openai" TargetMode="External" /><Relationship Type="http://schemas.openxmlformats.org/officeDocument/2006/relationships/hyperlink" Id="rId17" Target="https://stage.zacks.com/stock/quote/DECK/detailed-earning-estimates?icid=SITE_SECTION-SUB_SECTION-quote_nav_tracking-zcom-left_subnav_quote_navbar-detailed_earning_estimates&amp;utm_source=openai" TargetMode="External" /><Relationship Type="http://schemas.openxmlformats.org/officeDocument/2006/relationships/hyperlink" Id="rId24" Target="https://www.tipranks.com/stocks/deck/earnings" TargetMode="External" /><Relationship Type="http://schemas.openxmlformats.org/officeDocument/2006/relationships/hyperlink" Id="rId11" Target="https://www.zacks.com/stock/news/2956190/ahead-of-deckers-deck-q1-earnings-get-ready-with-wall-street-estimates-for-key-metrics?art_rec=blog-fundamental_analysis-up_next-ID01-txt-2956190&amp;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2026-07-23T00:56:06Z</dcterms:created>
  <dcterms:modified xsi:type="dcterms:W3CDTF">2026-07-23T00:56:06Z</dcterms:modified>
</cp:coreProperties>
</file>

<file path=docProps/custom.xml><?xml version="1.0" encoding="utf-8"?>
<Properties xmlns="http://schemas.openxmlformats.org/officeDocument/2006/custom-properties" xmlns:vt="http://schemas.openxmlformats.org/officeDocument/2006/docPropsVTypes"/>
</file>