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eck-earnings-predictions--2026-07-23"/>
    <w:p>
      <w:pPr>
        <w:pStyle w:val="Heading1"/>
      </w:pPr>
      <w:r>
        <w:t xml:space="preserve">DECK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~$1.03B vs. cons $1.01B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HOKA 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~$716M vs. cons $705M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~$0.89 vs. cons $0.85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net sales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~$5.89B vs. cons $5.91B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diluted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~$7.38 vs. cons $7.48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HOKA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~11% vs. cons 11%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gross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~56.5% vs. cons 56.6%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-8.0% (FOLLOW-THROUGH)</w:t>
            </w:r>
          </w:p>
        </w:tc>
        <w:tc>
          <w:tcPr/>
          <w:p>
            <w:pPr>
              <w:pStyle w:val="Compact"/>
            </w:pPr>
            <w:r>
              <w:t xml:space="preserve">FY2027 EPS guide ~$7.38 vs. consensus</w:t>
            </w:r>
            <w:r>
              <w:t xml:space="preserve"> </w:t>
            </w:r>
            <m:oMath>
              <m:r>
                <m:t>7.48</m:t>
              </m:r>
              <m:r>
                <m:t>l</m:t>
              </m:r>
              <m:r>
                <m:t>e</m:t>
              </m:r>
              <m:r>
                <m:t>a</m:t>
              </m:r>
              <m:r>
                <m:t>v</m:t>
              </m:r>
              <m:r>
                <m:t>e</m:t>
              </m:r>
              <m:r>
                <m:t>s</m:t>
              </m:r>
              <m:r>
                <m:t>o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e</m:t>
              </m:r>
              <m:r>
                <m:t>r</m:t>
              </m:r>
              <m:r>
                <m:t>i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s</m:t>
              </m:r>
              <m:r>
                <m:t>f</m:t>
              </m:r>
              <m:r>
                <m:t>a</m:t>
              </m:r>
              <m:r>
                <m:t>c</m:t>
              </m:r>
              <m:r>
                <m:t>i</m:t>
              </m:r>
              <m:r>
                <m:t>n</m:t>
              </m:r>
              <m:r>
                <m:t>g</m:t>
              </m:r>
              <m:r>
                <m:t>c</m:t>
              </m:r>
              <m:r>
                <m:t>u</m:t>
              </m:r>
              <m:r>
                <m:t>t</m:t>
              </m:r>
              <m:r>
                <m:t>s</m:t>
              </m:r>
              <m:r>
                <m:t>d</m:t>
              </m:r>
              <m:r>
                <m:t>e</m:t>
              </m:r>
              <m:r>
                <m:t>s</m:t>
              </m:r>
              <m:r>
                <m:t>p</m:t>
              </m:r>
              <m:r>
                <m:t>i</m:t>
              </m:r>
              <m:r>
                <m:t>t</m:t>
              </m:r>
              <m:r>
                <m:t>e</m:t>
              </m:r>
              <m:r>
                <m:t>a</m:t>
              </m:r>
              <m:r>
                <m:t>Q</m:t>
              </m:r>
              <m:r>
                <m:t>1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0.89 vs. $0.85; unchanged HOKA and margin assumptions do not validate the Street’s higher full-year math.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2026-07-23T00:54:19Z</dcterms:created>
  <dcterms:modified xsi:type="dcterms:W3CDTF">2026-07-23T00:54:19Z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