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df4eb815d22c9404cf795a7c4d9eaed7b67def5"/>
    <w:p>
      <w:pPr>
        <w:pStyle w:val="Heading1"/>
      </w:pPr>
      <w:r>
        <w:t xml:space="preserve">Deckers Brands (NYSE: DECK) — FY2027 Q1 Earnings Preview</w:t>
      </w:r>
    </w:p>
    <w:p>
      <w:pPr>
        <w:pStyle w:val="BlockText"/>
      </w:pPr>
      <w:r>
        <w:rPr>
          <w:b/>
          <w:bCs/>
        </w:rPr>
        <w:t xml:space="preserve">Timing correction:</w:t>
      </w:r>
      <w:r>
        <w:t xml:space="preserve"> </w:t>
      </w:r>
      <w:r>
        <w:t xml:space="preserve">Deckers reports</w:t>
      </w:r>
      <w:r>
        <w:t xml:space="preserve"> </w:t>
      </w:r>
      <w:r>
        <w:rPr>
          <w:b/>
          <w:bCs/>
        </w:rPr>
        <w:t xml:space="preserve">today, Thursday, July 23, 2026</w:t>
      </w:r>
      <w:r>
        <w:t xml:space="preserve">, with its FY2027 Q1 conference call scheduled for</w:t>
      </w:r>
      <w:r>
        <w:t xml:space="preserve"> </w:t>
      </w:r>
      <w:r>
        <w:rPr>
          <w:b/>
          <w:bCs/>
        </w:rPr>
        <w:t xml:space="preserve">4:30 p.m. ET</w:t>
      </w:r>
      <w:r>
        <w:t xml:space="preserve">—not tomorrow. (</w:t>
      </w:r>
      <w:hyperlink r:id="rId9">
        <w:r>
          <w:rPr>
            <w:rStyle w:val="Hyperlink"/>
          </w:rPr>
          <w:t xml:space="preserve">ir.deckers.com</w:t>
        </w:r>
      </w:hyperlink>
      <w:r>
        <w:t xml:space="preserve">)</w:t>
      </w:r>
    </w:p>
    <w:bookmarkStart w:id="11" w:name="investment-framing"/>
    <w:p>
      <w:pPr>
        <w:pStyle w:val="Heading2"/>
      </w:pPr>
      <w:r>
        <w:t xml:space="preserve">Investment framing</w:t>
      </w:r>
    </w:p>
    <w:p>
      <w:pPr>
        <w:pStyle w:val="FirstParagraph"/>
      </w:pPr>
      <w:r>
        <w:t xml:space="preserve">DECK enters the June-quarter report with a high-quality but demanding setup: its core HOKA and UGG franchises continue to gain share, international growth remains substantial, inventory is controlled, and the company has an unusually strong balance sheet and buyback capacity. The key issue is not whether the company can grow; it is whether the quarter reinforces confidence in the company’s</w:t>
      </w:r>
      <w:r>
        <w:t xml:space="preserve"> </w:t>
      </w:r>
      <w:r>
        <w:rPr>
          <w:b/>
          <w:bCs/>
        </w:rPr>
        <w:t xml:space="preserve">high-single-digit FY2027 revenue-growth</w:t>
      </w:r>
      <w:r>
        <w:t xml:space="preserve"> </w:t>
      </w:r>
      <w:r>
        <w:t xml:space="preserve">outlook while absorbing tariffs, elevated freight/input costs, and deliberate marketing/DTC investment.</w:t>
      </w:r>
    </w:p>
    <w:p>
      <w:pPr>
        <w:pStyle w:val="BodyText"/>
      </w:pPr>
      <w:r>
        <w:t xml:space="preserve">Management has already set a relatively modest near-term bar: approximately</w:t>
      </w:r>
      <w:r>
        <w:t xml:space="preserve"> </w:t>
      </w:r>
      <w:r>
        <w:rPr>
          <w:b/>
          <w:bCs/>
        </w:rPr>
        <w:t xml:space="preserve">5% consolidated revenue growth</w:t>
      </w:r>
      <w:r>
        <w:t xml:space="preserve">,</w:t>
      </w:r>
      <w:r>
        <w:t xml:space="preserve"> </w:t>
      </w:r>
      <w:r>
        <w:rPr>
          <w:b/>
          <w:bCs/>
        </w:rPr>
        <w:t xml:space="preserve">high-single-digit HOKA growth</w:t>
      </w:r>
      <w:r>
        <w:t xml:space="preserve">,</w:t>
      </w:r>
      <w:r>
        <w:t xml:space="preserve"> </w:t>
      </w:r>
      <w:r>
        <w:rPr>
          <w:b/>
          <w:bCs/>
        </w:rPr>
        <w:t xml:space="preserve">mid-single-digit UGG growth</w:t>
      </w:r>
      <w:r>
        <w:t xml:space="preserve">, and</w:t>
      </w:r>
      <w:r>
        <w:t xml:space="preserve"> </w:t>
      </w:r>
      <w:r>
        <w:rPr>
          <w:b/>
          <w:bCs/>
        </w:rPr>
        <w:t xml:space="preserve">EPS of</w:t>
      </w:r>
      <w:r>
        <w:rPr>
          <w:b/>
          <w:bCs/>
        </w:rPr>
        <w:t xml:space="preserve"> </w:t>
      </w:r>
      <m:oMath>
        <m:r>
          <m:t>0.82</m:t>
        </m:r>
        <m:r>
          <m:rPr>
            <m:sty m:val="p"/>
          </m:rPr>
          <m:t>–</m:t>
        </m:r>
      </m:oMath>
      <w:r>
        <w:rPr>
          <w:b/>
          <w:bCs/>
        </w:rPr>
        <w:t xml:space="preserve">0.87</w:t>
      </w:r>
      <w:r>
        <w:t xml:space="preserve">. That outlook implies roughly</w:t>
      </w:r>
      <w:r>
        <w:t xml:space="preserve"> </w:t>
      </w:r>
      <w:r>
        <w:rPr>
          <w:b/>
          <w:bCs/>
        </w:rPr>
        <w:t xml:space="preserve">$1.01 billion</w:t>
      </w:r>
      <w:r>
        <w:t xml:space="preserve"> </w:t>
      </w:r>
      <w:r>
        <w:t xml:space="preserve">of revenue, against $964.5 million in last year’s June quarter. The EPS guide is below last year’s $0.93 despite sales growth, explicitly reflecting tariff and investment pressure. (</w:t>
      </w:r>
      <w:hyperlink r:id="rId10">
        <w:r>
          <w:rPr>
            <w:rStyle w:val="Hyperlink"/>
          </w:rPr>
          <w:t xml:space="preserve">ir.deckers.com</w:t>
        </w:r>
      </w:hyperlink>
      <w:r>
        <w:t xml:space="preserve">)</w:t>
      </w:r>
    </w:p>
    <w:p>
      <w:pPr>
        <w:pStyle w:val="BodyText"/>
      </w:pPr>
      <w:r>
        <w:t xml:space="preserve">The most important outcome for investors will be the credibility of the</w:t>
      </w:r>
      <w:r>
        <w:t xml:space="preserve"> </w:t>
      </w:r>
      <w:r>
        <w:rPr>
          <w:b/>
          <w:bCs/>
        </w:rPr>
        <w:t xml:space="preserve">full-year outlook</w:t>
      </w:r>
      <w:r>
        <w:t xml:space="preserve">, rather than a headline Q1 beat alone.</w:t>
      </w:r>
    </w:p>
    <w:p>
      <w:r>
        <w:pict>
          <v:rect style="width:0;height:1.5pt" o:hralign="center" o:hrstd="t" o:hr="t"/>
        </w:pict>
      </w:r>
    </w:p>
    <w:bookmarkEnd w:id="11"/>
    <w:bookmarkStart w:id="16" w:name="what-deck-needs-to-show"/>
    <w:p>
      <w:pPr>
        <w:pStyle w:val="Heading2"/>
      </w:pPr>
      <w:r>
        <w:t xml:space="preserve">What DECK needs to show</w:t>
      </w:r>
    </w:p>
    <w:bookmarkStart w:id="13" w:name="X939f5f1041aa3a295f5900aa55ea24ccea28588"/>
    <w:p>
      <w:pPr>
        <w:pStyle w:val="Heading3"/>
      </w:pPr>
      <w:r>
        <w:t xml:space="preserve">1. HOKA: confirm that Q1 timing noise is just timing</w:t>
      </w:r>
    </w:p>
    <w:p>
      <w:pPr>
        <w:pStyle w:val="FirstParagraph"/>
      </w:pPr>
      <w:r>
        <w:t xml:space="preserve">HOKA is the central earnings variable. In FY2026, HOKA grew 16% to $2.59 billion, and management’s FY2027 plan calls for</w:t>
      </w:r>
      <w:r>
        <w:t xml:space="preserve"> </w:t>
      </w:r>
      <w:r>
        <w:rPr>
          <w:b/>
          <w:bCs/>
        </w:rPr>
        <w:t xml:space="preserve">low-double-digit growth</w:t>
      </w:r>
      <w:r>
        <w:t xml:space="preserve">. For Q1, however, it guided only to high-single-digit growth because of unfavorable wholesale timing:</w:t>
      </w:r>
    </w:p>
    <w:p>
      <w:pPr>
        <w:pStyle w:val="Compact"/>
        <w:numPr>
          <w:ilvl w:val="0"/>
          <w:numId w:val="1001"/>
        </w:numPr>
      </w:pPr>
      <w:r>
        <w:t xml:space="preserve">Prior-year European warehouse-transition shipments created a difficult comparison.</w:t>
      </w:r>
    </w:p>
    <w:p>
      <w:pPr>
        <w:pStyle w:val="Compact"/>
        <w:numPr>
          <w:ilvl w:val="0"/>
          <w:numId w:val="1001"/>
        </w:numPr>
      </w:pPr>
      <w:r>
        <w:t xml:space="preserve">Distributor shipments in APAC were deferred.</w:t>
      </w:r>
    </w:p>
    <w:p>
      <w:pPr>
        <w:pStyle w:val="Compact"/>
        <w:numPr>
          <w:ilvl w:val="0"/>
          <w:numId w:val="1001"/>
        </w:numPr>
      </w:pPr>
      <w:r>
        <w:t xml:space="preserve">The company reduced shipments of outgoing Clifton inventory ahead of the</w:t>
      </w:r>
      <w:r>
        <w:t xml:space="preserve"> </w:t>
      </w:r>
      <w:r>
        <w:rPr>
          <w:b/>
          <w:bCs/>
        </w:rPr>
        <w:t xml:space="preserve">Clifton 11 / Clifton Pro</w:t>
      </w:r>
      <w:r>
        <w:t xml:space="preserve"> </w:t>
      </w:r>
      <w:r>
        <w:t xml:space="preserve">launch.</w:t>
      </w:r>
    </w:p>
    <w:p>
      <w:pPr>
        <w:pStyle w:val="FirstParagraph"/>
      </w:pPr>
      <w:r>
        <w:t xml:space="preserve">Thus, a merely high-single-digit HOKA number should not automatically be viewed negatively if management reiterates a healthy order book, strong sell-through, and confidence in the FY2027 low-double-digit growth plan.</w:t>
      </w:r>
    </w:p>
    <w:p>
      <w:pPr>
        <w:pStyle w:val="BodyText"/>
      </w:pPr>
      <w:r>
        <w:t xml:space="preserve">The more constructive read-through would be strong HOKA DTC growth, evidence that the new Clifton launch is working, and continued international momentum. Management has pointed to growing brand awareness, a more differentiated road/trail product architecture, selective sporting-goods and specialty-door expansion, and early lifestyle traction in franchises such as Mafate and Bondi. HOKA’s long-term opportunity remains underpinned by relatively low penetration in several wholesale channels and international markets. (</w:t>
      </w:r>
      <w:hyperlink r:id="rId12">
        <w:r>
          <w:rPr>
            <w:rStyle w:val="Hyperlink"/>
          </w:rPr>
          <w:t xml:space="preserve">ir.deckers.com</w:t>
        </w:r>
      </w:hyperlink>
      <w:r>
        <w:t xml:space="preserve">)</w:t>
      </w:r>
    </w:p>
    <w:p>
      <w:pPr>
        <w:pStyle w:val="BodyText"/>
      </w:pPr>
      <w:r>
        <w:rPr>
          <w:b/>
          <w:bCs/>
        </w:rPr>
        <w:t xml:space="preserve">Watch:</w:t>
      </w:r>
      <w:r>
        <w:t xml:space="preserve"> </w:t>
      </w:r>
      <w:r>
        <w:t xml:space="preserve">HOKA revenue growth; DTC versus wholesale; international trends; commentary on July Clifton sell-through and wholesale reorders; maintenance of low-double-digit FY2027 HOKA guidance.</w:t>
      </w:r>
    </w:p>
    <w:p>
      <w:r>
        <w:pict>
          <v:rect style="width:0;height:1.5pt" o:hralign="center" o:hrstd="t" o:hr="t"/>
        </w:pict>
      </w:r>
    </w:p>
    <w:bookmarkEnd w:id="13"/>
    <w:bookmarkStart w:id="14" w:name="Xcb253c3a370215272f0b292a7c878bc62903ce4"/>
    <w:p>
      <w:pPr>
        <w:pStyle w:val="Heading3"/>
      </w:pPr>
      <w:r>
        <w:t xml:space="preserve">2. UGG: gauge the durability of the 365 strategy</w:t>
      </w:r>
    </w:p>
    <w:p>
      <w:pPr>
        <w:pStyle w:val="FirstParagraph"/>
      </w:pPr>
      <w:r>
        <w:t xml:space="preserve">UGG is expected to grow mid-single digits in FY2027 after an 8% increase to $2.74 billion in FY2026. The strategic question is whether UGG can become less dependent on the traditional fall/winter boot cycle.</w:t>
      </w:r>
    </w:p>
    <w:p>
      <w:pPr>
        <w:pStyle w:val="BodyText"/>
      </w:pPr>
      <w:r>
        <w:t xml:space="preserve">The recent performance supports that thesis. Management has highlighted spring/summer growth in sneakers, sandals, clogs, apparel, and accessories, with Lowmel, Golden, and newer fashion silhouettes broadening the brand’s consumer reach. Men’s products were also a meaningful contributor to UGG’s FY2026 growth. Still, UGG purchasing has become more event-driven, creating potential quarter-to-quarter volatility in DTC demand.</w:t>
      </w:r>
    </w:p>
    <w:p>
      <w:pPr>
        <w:pStyle w:val="BodyText"/>
      </w:pPr>
      <w:r>
        <w:t xml:space="preserve">For Q1, investors should want to hear that spring/summer product adoption remains healthy, especially outside the core boot business, and that wholesale allocations remain well balanced rather than pulling demand forward.</w:t>
      </w:r>
    </w:p>
    <w:p>
      <w:pPr>
        <w:pStyle w:val="BodyText"/>
      </w:pPr>
      <w:r>
        <w:rPr>
          <w:b/>
          <w:bCs/>
        </w:rPr>
        <w:t xml:space="preserve">Watch:</w:t>
      </w:r>
      <w:r>
        <w:t xml:space="preserve"> </w:t>
      </w:r>
      <w:r>
        <w:t xml:space="preserve">UGG growth by channel, spring/summer product commentary, men’s/category expansion, international performance, and the tone on consumer demand heading into the fall season.</w:t>
      </w:r>
    </w:p>
    <w:p>
      <w:r>
        <w:pict>
          <v:rect style="width:0;height:1.5pt" o:hralign="center" o:hrstd="t" o:hr="t"/>
        </w:pict>
      </w:r>
    </w:p>
    <w:bookmarkEnd w:id="14"/>
    <w:bookmarkStart w:id="15" w:name="X99722aa64ef0d28548da3433b166a72b80145c4"/>
    <w:p>
      <w:pPr>
        <w:pStyle w:val="Heading3"/>
      </w:pPr>
      <w:r>
        <w:t xml:space="preserve">3. Margins matter more than the EPS headline</w:t>
      </w:r>
    </w:p>
    <w:p>
      <w:pPr>
        <w:pStyle w:val="FirstParagraph"/>
      </w:pPr>
      <w:r>
        <w:t xml:space="preserve">The company has clearly telegraphed a lower-margin first quarter. FY2027 gross margin is guided to about</w:t>
      </w:r>
      <w:r>
        <w:t xml:space="preserve"> </w:t>
      </w:r>
      <w:r>
        <w:rPr>
          <w:b/>
          <w:bCs/>
        </w:rPr>
        <w:t xml:space="preserve">56.5%</w:t>
      </w:r>
      <w:r>
        <w:t xml:space="preserve">, down from 57.7% in FY2026, while operating margin is expected to decline to approximately</w:t>
      </w:r>
      <w:r>
        <w:t xml:space="preserve"> </w:t>
      </w:r>
      <w:r>
        <w:rPr>
          <w:b/>
          <w:bCs/>
        </w:rPr>
        <w:t xml:space="preserve">21.5%</w:t>
      </w:r>
      <w:r>
        <w:t xml:space="preserve"> </w:t>
      </w:r>
      <w:r>
        <w:t xml:space="preserve">from 23.1%. The principal drivers are higher tariffs, freight and transportation costs, upgraded material costs, and elevated growth investments.</w:t>
      </w:r>
    </w:p>
    <w:p>
      <w:pPr>
        <w:pStyle w:val="BodyText"/>
      </w:pPr>
      <w:r>
        <w:t xml:space="preserve">For Q1 specifically, management expects gross margin to decline year over year as the company sells inventory carrying higher tariff costs. SG&amp;A is expected to grow at roughly</w:t>
      </w:r>
      <w:r>
        <w:t xml:space="preserve"> </w:t>
      </w:r>
      <w:r>
        <w:rPr>
          <w:b/>
          <w:bCs/>
        </w:rPr>
        <w:t xml:space="preserve">twice the revenue growth rate</w:t>
      </w:r>
      <w:r>
        <w:t xml:space="preserve">, driven by marketing, technology, DTC investments, lapping favorable FX timing, and higher personnel costs. This is why a Q1 EPS result inside the guided</w:t>
      </w:r>
      <w:r>
        <w:t xml:space="preserve"> </w:t>
      </w:r>
      <m:oMath>
        <m:r>
          <m:t>0.82</m:t>
        </m:r>
        <m:r>
          <m:rPr>
            <m:sty m:val="p"/>
          </m:rPr>
          <m:t>–</m:t>
        </m:r>
      </m:oMath>
      <w:r>
        <w:t xml:space="preserve">0.87 range could still be perfectly consistent with the full-year plan.</w:t>
      </w:r>
    </w:p>
    <w:p>
      <w:pPr>
        <w:pStyle w:val="BodyText"/>
      </w:pPr>
      <w:r>
        <w:t xml:space="preserve">The question is whether those pressures are contained. At the May call, management said its FY2027 assumptions included a 10% tariff rate for the balance of the year, while inventory sold in the first half would carry higher previously paid IEEPA tariff rates. Deckers had paid roughly</w:t>
      </w:r>
      <w:r>
        <w:t xml:space="preserve"> </w:t>
      </w:r>
      <w:r>
        <w:rPr>
          <w:b/>
          <w:bCs/>
        </w:rPr>
        <w:t xml:space="preserve">$120 million</w:t>
      </w:r>
      <w:r>
        <w:t xml:space="preserve"> </w:t>
      </w:r>
      <w:r>
        <w:t xml:space="preserve">in such tariffs and excluded any potential refunds from guidance. (</w:t>
      </w:r>
      <w:hyperlink r:id="rId12">
        <w:r>
          <w:rPr>
            <w:rStyle w:val="Hyperlink"/>
          </w:rPr>
          <w:t xml:space="preserve">ir.deckers.com</w:t>
        </w:r>
      </w:hyperlink>
      <w:r>
        <w:t xml:space="preserve">)</w:t>
      </w:r>
    </w:p>
    <w:p>
      <w:pPr>
        <w:pStyle w:val="BodyText"/>
      </w:pPr>
      <w:r>
        <w:rPr>
          <w:b/>
          <w:bCs/>
        </w:rPr>
        <w:t xml:space="preserve">Watch:</w:t>
      </w:r>
      <w:r>
        <w:t xml:space="preserve"> </w:t>
      </w:r>
      <w:r>
        <w:t xml:space="preserve">Gross-margin variance versus expectations, changes in freight/input-cost commentary, tariff exposure and mitigation, pricing actions, promotional intensity, and any adjustment to the 56.5% full-year gross-margin outlook.</w:t>
      </w:r>
    </w:p>
    <w:p>
      <w:r>
        <w:pict>
          <v:rect style="width:0;height:1.5pt" o:hralign="center" o:hrstd="t" o:hr="t"/>
        </w:pict>
      </w:r>
    </w:p>
    <w:bookmarkEnd w:id="15"/>
    <w:bookmarkEnd w:id="16"/>
    <w:bookmarkStart w:id="17" w:name="the-full-year-guide-is-the-real-catalyst"/>
    <w:p>
      <w:pPr>
        <w:pStyle w:val="Heading2"/>
      </w:pPr>
      <w:r>
        <w:t xml:space="preserve">The full-year guide is the real catalyst</w:t>
      </w:r>
    </w:p>
    <w:p>
      <w:pPr>
        <w:pStyle w:val="FirstParagraph"/>
      </w:pPr>
      <w:r>
        <w:t xml:space="preserve">At its FY2026 report, Deckers guided FY2027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FY2027 outlook</w:t>
            </w:r>
          </w:p>
        </w:tc>
      </w:tr>
      <w:tr>
        <w:tc>
          <w:tcPr/>
          <w:p>
            <w:pPr>
              <w:pStyle w:val="Compact"/>
            </w:pPr>
            <w:r>
              <w:t xml:space="preserve">Revenue</w:t>
            </w:r>
          </w:p>
        </w:tc>
        <w:tc>
          <w:tcPr/>
          <w:p>
            <w:pPr>
              <w:pStyle w:val="Compact"/>
              <w:jc w:val="right"/>
            </w:pPr>
            <m:oMath>
              <m:r>
                <m:t>5.86</m:t>
              </m:r>
              <m:r>
                <m:t>B</m:t>
              </m:r>
              <m:r>
                <m:rPr>
                  <m:sty m:val="p"/>
                </m:rPr>
                <m:t>–</m:t>
              </m:r>
            </m:oMath>
            <w:r>
              <w:rPr>
                <w:b/>
                <w:bCs/>
              </w:rPr>
              <w:t xml:space="preserve">5.91B</w:t>
            </w:r>
          </w:p>
        </w:tc>
      </w:tr>
      <w:tr>
        <w:tc>
          <w:tcPr/>
          <w:p>
            <w:pPr>
              <w:pStyle w:val="Compact"/>
            </w:pPr>
            <w:r>
              <w:t xml:space="preserve">HOKA growth</w:t>
            </w:r>
          </w:p>
        </w:tc>
        <w:tc>
          <w:tcPr/>
          <w:p>
            <w:pPr>
              <w:pStyle w:val="Compact"/>
              <w:jc w:val="right"/>
            </w:pPr>
            <w:r>
              <w:t xml:space="preserve">Low double digits</w:t>
            </w:r>
          </w:p>
        </w:tc>
      </w:tr>
      <w:tr>
        <w:tc>
          <w:tcPr/>
          <w:p>
            <w:pPr>
              <w:pStyle w:val="Compact"/>
            </w:pPr>
            <w:r>
              <w:t xml:space="preserve">UGG growth</w:t>
            </w:r>
          </w:p>
        </w:tc>
        <w:tc>
          <w:tcPr/>
          <w:p>
            <w:pPr>
              <w:pStyle w:val="Compact"/>
              <w:jc w:val="right"/>
            </w:pPr>
            <w:r>
              <w:t xml:space="preserve">Mid single digits</w:t>
            </w:r>
          </w:p>
        </w:tc>
      </w:tr>
      <w:tr>
        <w:tc>
          <w:tcPr/>
          <w:p>
            <w:pPr>
              <w:pStyle w:val="Compact"/>
            </w:pPr>
            <w:r>
              <w:t xml:space="preserve">Gross margin</w:t>
            </w:r>
          </w:p>
        </w:tc>
        <w:tc>
          <w:tcPr/>
          <w:p>
            <w:pPr>
              <w:pStyle w:val="Compact"/>
              <w:jc w:val="right"/>
            </w:pPr>
            <w:r>
              <w:t xml:space="preserve">~56.5%</w:t>
            </w:r>
          </w:p>
        </w:tc>
      </w:tr>
      <w:tr>
        <w:tc>
          <w:tcPr/>
          <w:p>
            <w:pPr>
              <w:pStyle w:val="Compact"/>
            </w:pPr>
            <w:r>
              <w:t xml:space="preserve">Operating margin</w:t>
            </w:r>
          </w:p>
        </w:tc>
        <w:tc>
          <w:tcPr/>
          <w:p>
            <w:pPr>
              <w:pStyle w:val="Compact"/>
              <w:jc w:val="right"/>
            </w:pPr>
            <w:r>
              <w:t xml:space="preserve">~21.5%</w:t>
            </w:r>
          </w:p>
        </w:tc>
      </w:tr>
      <w:tr>
        <w:tc>
          <w:tcPr/>
          <w:p>
            <w:pPr>
              <w:pStyle w:val="Compact"/>
            </w:pPr>
            <w:r>
              <w:t xml:space="preserve">Diluted EPS</w:t>
            </w:r>
          </w:p>
        </w:tc>
        <w:tc>
          <w:tcPr/>
          <w:p>
            <w:pPr>
              <w:pStyle w:val="Compact"/>
              <w:jc w:val="right"/>
            </w:pPr>
            <m:oMath>
              <m:r>
                <m:t>7.30</m:t>
              </m:r>
              <m:r>
                <m:rPr>
                  <m:sty m:val="p"/>
                </m:rPr>
                <m:t>–</m:t>
              </m:r>
            </m:oMath>
            <w:r>
              <w:rPr>
                <w:b/>
                <w:bCs/>
              </w:rPr>
              <w:t xml:space="preserve">7.45</w:t>
            </w:r>
          </w:p>
        </w:tc>
      </w:tr>
      <w:tr>
        <w:tc>
          <w:tcPr/>
          <w:p>
            <w:pPr>
              <w:pStyle w:val="Compact"/>
            </w:pPr>
            <w:r>
              <w:t xml:space="preserve">Buybacks</w:t>
            </w:r>
          </w:p>
        </w:tc>
        <w:tc>
          <w:tcPr/>
          <w:p>
            <w:pPr>
              <w:pStyle w:val="Compact"/>
              <w:jc w:val="right"/>
            </w:pPr>
            <w:r>
              <w:t xml:space="preserve">At least ~80% of projected free cash flow</w:t>
            </w:r>
          </w:p>
        </w:tc>
      </w:tr>
    </w:tbl>
    <w:p>
      <w:pPr>
        <w:pStyle w:val="BodyText"/>
      </w:pPr>
      <w:r>
        <w:t xml:space="preserve">Management also introduced a FY2028–FY2030 framework calling for high-single-digit annual revenue growth, low-double-digit HOKA growth, mid-single-digit UGG growth, low-20%-plus operating margins, and low-double-digit EPS growth aided by repurchases. The company ended FY2026 with $1.91 billion of cash, no borrowings, and a roughly $5 billion share-repurchase authorization after the board’s latest expansion. (</w:t>
      </w:r>
      <w:hyperlink r:id="rId12">
        <w:r>
          <w:rPr>
            <w:rStyle w:val="Hyperlink"/>
          </w:rPr>
          <w:t xml:space="preserve">ir.deckers.com</w:t>
        </w:r>
      </w:hyperlink>
      <w:r>
        <w:t xml:space="preserve">)</w:t>
      </w:r>
    </w:p>
    <w:p>
      <w:pPr>
        <w:pStyle w:val="BodyText"/>
      </w:pPr>
      <w:r>
        <w:rPr>
          <w:b/>
          <w:bCs/>
        </w:rPr>
        <w:t xml:space="preserve">Interpretation:</w:t>
      </w:r>
      <w:r>
        <w:t xml:space="preserve"> </w:t>
      </w:r>
      <w:r>
        <w:t xml:space="preserve">An unchanged FY2027 outlook should be acceptable if Q1 develops as guided, but investors may demand evidence that the second-half acceleration embedded in the HOKA outlook is tangible. A raise would be powerful; a guide cut or a more cautious tone on HOKA’s order book, tariffs, or consumer demand would likely outweigh a small quarterly beat.</w:t>
      </w:r>
    </w:p>
    <w:p>
      <w:r>
        <w:pict>
          <v:rect style="width:0;height:1.5pt" o:hralign="center" o:hrstd="t" o:hr="t"/>
        </w:pict>
      </w:r>
    </w:p>
    <w:bookmarkEnd w:id="17"/>
    <w:bookmarkStart w:id="18" w:name="stock-setup-and-expectations"/>
    <w:p>
      <w:pPr>
        <w:pStyle w:val="Heading2"/>
      </w:pPr>
      <w:r>
        <w:t xml:space="preserve">Stock setup and expectations</w:t>
      </w:r>
    </w:p>
    <w:p>
      <w:pPr>
        <w:pStyle w:val="FirstParagraph"/>
      </w:pPr>
      <w:r>
        <w:t xml:space="preserve">DECK closed at</w:t>
      </w:r>
      <w:r>
        <w:t xml:space="preserve"> </w:t>
      </w:r>
      <w:r>
        <w:rPr>
          <w:b/>
          <w:bCs/>
        </w:rPr>
        <w:t xml:space="preserve">$102.50 on July 22</w:t>
      </w:r>
      <w:r>
        <w:t xml:space="preserve">, up only modestly from $100.09 at fiscal year-end on March 31, after rallying to $114.37 in late May. The shares have therefore given back a meaningful portion of the post-FY2026-results move and have lagged the broader market over that interval.</w:t>
      </w:r>
    </w:p>
    <w:p>
      <w:pPr>
        <w:pStyle w:val="BodyText"/>
      </w:pPr>
      <w:r>
        <w:t xml:space="preserve">That setup suggests expectations are not euphoric, but it also means investors are likely focused on whether the management team’s May guidance was appropriately cautious—or whether cost pressure and HOKA’s shipment timing are masking a softer underlying demand environment.</w:t>
      </w:r>
    </w:p>
    <w:p>
      <w:r>
        <w:pict>
          <v:rect style="width:0;height:1.5pt" o:hralign="center" o:hrstd="t" o:hr="t"/>
        </w:pict>
      </w:r>
    </w:p>
    <w:bookmarkEnd w:id="18"/>
    <w:bookmarkStart w:id="22" w:name="earnings-scenarios"/>
    <w:p>
      <w:pPr>
        <w:pStyle w:val="Heading2"/>
      </w:pPr>
      <w:r>
        <w:t xml:space="preserve">Earnings scenarios</w:t>
      </w:r>
    </w:p>
    <w:bookmarkStart w:id="19" w:name="bull-case"/>
    <w:p>
      <w:pPr>
        <w:pStyle w:val="Heading3"/>
      </w:pPr>
      <w:r>
        <w:t xml:space="preserve">Bull case</w:t>
      </w:r>
    </w:p>
    <w:p>
      <w:pPr>
        <w:pStyle w:val="Compact"/>
        <w:numPr>
          <w:ilvl w:val="0"/>
          <w:numId w:val="1002"/>
        </w:numPr>
      </w:pPr>
      <w:r>
        <w:t xml:space="preserve">Revenue grows above the ~5% Q1 guide.</w:t>
      </w:r>
    </w:p>
    <w:p>
      <w:pPr>
        <w:pStyle w:val="Compact"/>
        <w:numPr>
          <w:ilvl w:val="0"/>
          <w:numId w:val="1002"/>
        </w:numPr>
      </w:pPr>
      <w:r>
        <w:t xml:space="preserve">HOKA DTC, international sales, and new-product sell-through exceed expectations.</w:t>
      </w:r>
    </w:p>
    <w:p>
      <w:pPr>
        <w:pStyle w:val="Compact"/>
        <w:numPr>
          <w:ilvl w:val="0"/>
          <w:numId w:val="1002"/>
        </w:numPr>
      </w:pPr>
      <w:r>
        <w:t xml:space="preserve">UGG’s spring/summer categories support better-than-expected growth.</w:t>
      </w:r>
    </w:p>
    <w:p>
      <w:pPr>
        <w:pStyle w:val="Compact"/>
        <w:numPr>
          <w:ilvl w:val="0"/>
          <w:numId w:val="1002"/>
        </w:numPr>
      </w:pPr>
      <w:r>
        <w:t xml:space="preserve">Gross margin is pressured as expected but not materially worse.</w:t>
      </w:r>
    </w:p>
    <w:p>
      <w:pPr>
        <w:pStyle w:val="Compact"/>
        <w:numPr>
          <w:ilvl w:val="0"/>
          <w:numId w:val="1002"/>
        </w:numPr>
      </w:pPr>
      <w:r>
        <w:t xml:space="preserve">Management maintains or raises FY2027 sales/EPS guidance and speaks constructively about HOKA’s second-half wholesale/DTC setup.</w:t>
      </w:r>
    </w:p>
    <w:bookmarkEnd w:id="19"/>
    <w:bookmarkStart w:id="20" w:name="base-case"/>
    <w:p>
      <w:pPr>
        <w:pStyle w:val="Heading3"/>
      </w:pPr>
      <w:r>
        <w:t xml:space="preserve">Base case</w:t>
      </w:r>
    </w:p>
    <w:p>
      <w:pPr>
        <w:pStyle w:val="Compact"/>
        <w:numPr>
          <w:ilvl w:val="0"/>
          <w:numId w:val="1003"/>
        </w:numPr>
      </w:pPr>
      <w:r>
        <w:t xml:space="preserve">Revenue and EPS land around the company’s Q1 framework.</w:t>
      </w:r>
    </w:p>
    <w:p>
      <w:pPr>
        <w:pStyle w:val="Compact"/>
        <w:numPr>
          <w:ilvl w:val="0"/>
          <w:numId w:val="1003"/>
        </w:numPr>
      </w:pPr>
      <w:r>
        <w:t xml:space="preserve">HOKA grows high single digits, with timing explanations unchanged.</w:t>
      </w:r>
    </w:p>
    <w:p>
      <w:pPr>
        <w:pStyle w:val="Compact"/>
        <w:numPr>
          <w:ilvl w:val="0"/>
          <w:numId w:val="1003"/>
        </w:numPr>
      </w:pPr>
      <w:r>
        <w:t xml:space="preserve">UGG delivers mid-single-digit growth.</w:t>
      </w:r>
    </w:p>
    <w:p>
      <w:pPr>
        <w:pStyle w:val="Compact"/>
        <w:numPr>
          <w:ilvl w:val="0"/>
          <w:numId w:val="1003"/>
        </w:numPr>
      </w:pPr>
      <w:r>
        <w:t xml:space="preserve">Full-year guidance is reaffirmed, with tariff/freight pressure and investment spending remaining the main margin constraints.</w:t>
      </w:r>
    </w:p>
    <w:bookmarkEnd w:id="20"/>
    <w:bookmarkStart w:id="21" w:name="bear-case"/>
    <w:p>
      <w:pPr>
        <w:pStyle w:val="Heading3"/>
      </w:pPr>
      <w:r>
        <w:t xml:space="preserve">Bear case</w:t>
      </w:r>
    </w:p>
    <w:p>
      <w:pPr>
        <w:pStyle w:val="Compact"/>
        <w:numPr>
          <w:ilvl w:val="0"/>
          <w:numId w:val="1004"/>
        </w:numPr>
      </w:pPr>
      <w:r>
        <w:t xml:space="preserve">HOKA misses even its high-single-digit Q1 framework, or management indicates that the issue is demand/order-book related rather than shipment timing.</w:t>
      </w:r>
    </w:p>
    <w:p>
      <w:pPr>
        <w:pStyle w:val="Compact"/>
        <w:numPr>
          <w:ilvl w:val="0"/>
          <w:numId w:val="1004"/>
        </w:numPr>
      </w:pPr>
      <w:r>
        <w:t xml:space="preserve">UGG’s DTC or spring/summer trends disappoint.</w:t>
      </w:r>
    </w:p>
    <w:p>
      <w:pPr>
        <w:pStyle w:val="Compact"/>
        <w:numPr>
          <w:ilvl w:val="0"/>
          <w:numId w:val="1004"/>
        </w:numPr>
      </w:pPr>
      <w:r>
        <w:t xml:space="preserve">Gross margin deteriorates more than expected because of tariffs, freight, discounting, or mix.</w:t>
      </w:r>
    </w:p>
    <w:p>
      <w:pPr>
        <w:pStyle w:val="Compact"/>
        <w:numPr>
          <w:ilvl w:val="0"/>
          <w:numId w:val="1004"/>
        </w:numPr>
      </w:pPr>
      <w:r>
        <w:t xml:space="preserve">Management lowers FY2027 margin or EPS guidance, or signals weaker confidence in the expected second-half HOKA acceleration.</w:t>
      </w:r>
    </w:p>
    <w:p>
      <w:r>
        <w:pict>
          <v:rect style="width:0;height:1.5pt" o:hralign="center" o:hrstd="t" o:hr="t"/>
        </w:pict>
      </w:r>
    </w:p>
    <w:bookmarkEnd w:id="21"/>
    <w:bookmarkEnd w:id="22"/>
    <w:bookmarkStart w:id="23" w:name="questions-for-management"/>
    <w:p>
      <w:pPr>
        <w:pStyle w:val="Heading2"/>
      </w:pPr>
      <w:r>
        <w:t xml:space="preserve">Questions for management</w:t>
      </w:r>
    </w:p>
    <w:p>
      <w:pPr>
        <w:pStyle w:val="Compact"/>
        <w:numPr>
          <w:ilvl w:val="0"/>
          <w:numId w:val="1005"/>
        </w:numPr>
      </w:pPr>
      <w:r>
        <w:rPr>
          <w:b/>
          <w:bCs/>
        </w:rPr>
        <w:t xml:space="preserve">HOKA:</w:t>
      </w:r>
      <w:r>
        <w:t xml:space="preserve"> </w:t>
      </w:r>
      <w:r>
        <w:t xml:space="preserve">What has been the initial sell-through of Clifton 11 and Clifton Pro, and how much of the Q1 wholesale timing headwind reverses in Q2 versus later in the year?</w:t>
      </w:r>
    </w:p>
    <w:p>
      <w:pPr>
        <w:pStyle w:val="Compact"/>
        <w:numPr>
          <w:ilvl w:val="0"/>
          <w:numId w:val="1005"/>
        </w:numPr>
      </w:pPr>
      <w:r>
        <w:rPr>
          <w:b/>
          <w:bCs/>
        </w:rPr>
        <w:t xml:space="preserve">Demand quality:</w:t>
      </w:r>
      <w:r>
        <w:t xml:space="preserve"> </w:t>
      </w:r>
      <w:r>
        <w:t xml:space="preserve">Are HOKA’s wholesale reorders and door-productivity trends still improving, particularly in sporting goods and international markets?</w:t>
      </w:r>
    </w:p>
    <w:p>
      <w:pPr>
        <w:pStyle w:val="Compact"/>
        <w:numPr>
          <w:ilvl w:val="0"/>
          <w:numId w:val="1005"/>
        </w:numPr>
      </w:pPr>
      <w:r>
        <w:rPr>
          <w:b/>
          <w:bCs/>
        </w:rPr>
        <w:t xml:space="preserve">UGG:</w:t>
      </w:r>
      <w:r>
        <w:t xml:space="preserve"> </w:t>
      </w:r>
      <w:r>
        <w:t xml:space="preserve">How are spring/summer categories, men’s products, and DTC conversion performing relative to plan?</w:t>
      </w:r>
    </w:p>
    <w:p>
      <w:pPr>
        <w:pStyle w:val="Compact"/>
        <w:numPr>
          <w:ilvl w:val="0"/>
          <w:numId w:val="1005"/>
        </w:numPr>
      </w:pPr>
      <w:r>
        <w:rPr>
          <w:b/>
          <w:bCs/>
        </w:rPr>
        <w:t xml:space="preserve">Margins:</w:t>
      </w:r>
      <w:r>
        <w:t xml:space="preserve"> </w:t>
      </w:r>
      <w:r>
        <w:t xml:space="preserve">Has the outlook for freight, input costs, tariffs, or pricing changed since May?</w:t>
      </w:r>
    </w:p>
    <w:p>
      <w:pPr>
        <w:pStyle w:val="Compact"/>
        <w:numPr>
          <w:ilvl w:val="0"/>
          <w:numId w:val="1005"/>
        </w:numPr>
      </w:pPr>
      <w:r>
        <w:rPr>
          <w:b/>
          <w:bCs/>
        </w:rPr>
        <w:t xml:space="preserve">Tariffs:</w:t>
      </w:r>
      <w:r>
        <w:t xml:space="preserve"> </w:t>
      </w:r>
      <w:r>
        <w:t xml:space="preserve">Has the company made progress on tariff refunds, and would any recovery primarily benefit gross margin, operating income, or partners through cost-sharing?</w:t>
      </w:r>
    </w:p>
    <w:p>
      <w:pPr>
        <w:pStyle w:val="Compact"/>
        <w:numPr>
          <w:ilvl w:val="0"/>
          <w:numId w:val="1005"/>
        </w:numPr>
      </w:pPr>
      <w:r>
        <w:rPr>
          <w:b/>
          <w:bCs/>
        </w:rPr>
        <w:t xml:space="preserve">Inventory and promotions:</w:t>
      </w:r>
      <w:r>
        <w:t xml:space="preserve"> </w:t>
      </w:r>
      <w:r>
        <w:t xml:space="preserve">Is inventory positioned to preserve the company’s full-price selling model through the fall/winter UGG season?</w:t>
      </w:r>
    </w:p>
    <w:p>
      <w:pPr>
        <w:pStyle w:val="Compact"/>
        <w:numPr>
          <w:ilvl w:val="0"/>
          <w:numId w:val="1005"/>
        </w:numPr>
      </w:pPr>
      <w:r>
        <w:rPr>
          <w:b/>
          <w:bCs/>
        </w:rPr>
        <w:t xml:space="preserve">Capital returns:</w:t>
      </w:r>
      <w:r>
        <w:t xml:space="preserve"> </w:t>
      </w:r>
      <w:r>
        <w:t xml:space="preserve">Is the planned buyback cadence unchanged following the enlarged authorization?</w:t>
      </w:r>
    </w:p>
    <w:bookmarkEnd w:id="23"/>
    <w:bookmarkStart w:id="24" w:name="bottom-line"/>
    <w:p>
      <w:pPr>
        <w:pStyle w:val="Heading2"/>
      </w:pPr>
      <w:r>
        <w:t xml:space="preserve">Bottom line</w:t>
      </w:r>
    </w:p>
    <w:p>
      <w:pPr>
        <w:pStyle w:val="FirstParagraph"/>
      </w:pPr>
      <w:r>
        <w:t xml:space="preserve">DECK’s Q1 is likely to be judged on</w:t>
      </w:r>
      <w:r>
        <w:t xml:space="preserve"> </w:t>
      </w:r>
      <w:r>
        <w:rPr>
          <w:b/>
          <w:bCs/>
        </w:rPr>
        <w:t xml:space="preserve">underlying HOKA health and FY2027 guidance durability</w:t>
      </w:r>
      <w:r>
        <w:t xml:space="preserve">, not simply on the reported EPS comparison. Management intentionally set expectations for a modest-growth, lower-margin June quarter while investing behind HOKA, UGG, DTC, and international expansion. A clean quarter that validates the timing explanation around HOKA and preserves the full-year algorithm should be enough to support the shares. The principal risk is that timing, tariffs, and investment pressure obscure a weakening demand signal that forces a reset to the FY2027 outlook.</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r.deckers.com/?utm_source=openai" TargetMode="External" /><Relationship Type="http://schemas.openxmlformats.org/officeDocument/2006/relationships/hyperlink" Id="rId10" Target="https://ir.deckers.com/news-events/press-releases/detail/225/deckers-brands-reports-first-quarter-fiscal-year-2026-financial-results?utm_source=openai" TargetMode="External" /><Relationship Type="http://schemas.openxmlformats.org/officeDocument/2006/relationships/hyperlink" Id="rId12" Target="https://ir.deckers.com/news-events/press-releases/detail/656/deckers-brands-reports-fourth-quarter-and-full-fiscal-year-2026-financial-results?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r.deckers.com/?utm_source=openai" TargetMode="External" /><Relationship Type="http://schemas.openxmlformats.org/officeDocument/2006/relationships/hyperlink" Id="rId10" Target="https://ir.deckers.com/news-events/press-releases/detail/225/deckers-brands-reports-first-quarter-fiscal-year-2026-financial-results?utm_source=openai" TargetMode="External" /><Relationship Type="http://schemas.openxmlformats.org/officeDocument/2006/relationships/hyperlink" Id="rId12" Target="https://ir.deckers.com/news-events/press-releases/detail/656/deckers-brands-reports-fourth-quarter-and-full-fiscal-year-2026-financial-result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2026-07-23T00:54:19Z</dcterms:created>
  <dcterms:modified xsi:type="dcterms:W3CDTF">2026-07-23T00:54:19Z</dcterms:modified>
</cp:coreProperties>
</file>

<file path=docProps/custom.xml><?xml version="1.0" encoding="utf-8"?>
<Properties xmlns="http://schemas.openxmlformats.org/officeDocument/2006/custom-properties" xmlns:vt="http://schemas.openxmlformats.org/officeDocument/2006/docPropsVTypes"/>
</file>