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DECK — Q1 FY2027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Deckers Outdoor Corporation</w:t>
            </w:r>
          </w:p>
        </w:tc>
      </w:tr>
      <w:tr>
        <w:tc>
          <w:tcPr>
            <w:tcW w:type="dxa" w:w="4320"/>
          </w:tcPr>
          <w:p>
            <w:r>
              <w:rPr>
                <w:rFonts w:ascii="Calibri" w:hAnsi="Calibri"/>
                <w:b/>
                <w:sz w:val="22"/>
              </w:rPr>
              <w:t>Ticker</w:t>
            </w:r>
          </w:p>
        </w:tc>
        <w:tc>
          <w:tcPr>
            <w:tcW w:type="dxa" w:w="4320"/>
          </w:tcPr>
          <w:p>
            <w:r>
              <w:rPr>
                <w:rFonts w:ascii="Calibri" w:hAnsi="Calibri"/>
                <w:sz w:val="22"/>
              </w:rPr>
              <w:t>DECK (NYSE)</w:t>
            </w:r>
          </w:p>
        </w:tc>
      </w:tr>
      <w:tr>
        <w:tc>
          <w:tcPr>
            <w:tcW w:type="dxa" w:w="4320"/>
          </w:tcPr>
          <w:p>
            <w:r>
              <w:rPr>
                <w:rFonts w:ascii="Calibri" w:hAnsi="Calibri"/>
                <w:b/>
                <w:sz w:val="22"/>
              </w:rPr>
              <w:t>Earnings Date</w:t>
            </w:r>
          </w:p>
        </w:tc>
        <w:tc>
          <w:tcPr>
            <w:tcW w:type="dxa" w:w="4320"/>
          </w:tcPr>
          <w:p>
            <w:r>
              <w:rPr>
                <w:rFonts w:ascii="Calibri" w:hAnsi="Calibri"/>
                <w:sz w:val="22"/>
              </w:rPr>
              <w:t>July 23, 2026 — After Market Close (4:30 PM ET)</w:t>
            </w:r>
          </w:p>
        </w:tc>
      </w:tr>
      <w:tr>
        <w:tc>
          <w:tcPr>
            <w:tcW w:type="dxa" w:w="4320"/>
          </w:tcPr>
          <w:p>
            <w:r>
              <w:rPr>
                <w:rFonts w:ascii="Calibri" w:hAnsi="Calibri"/>
                <w:b/>
                <w:sz w:val="22"/>
              </w:rPr>
              <w:t>Reporting Period</w:t>
            </w:r>
          </w:p>
        </w:tc>
        <w:tc>
          <w:tcPr>
            <w:tcW w:type="dxa" w:w="4320"/>
          </w:tcPr>
          <w:p>
            <w:r>
              <w:rPr>
                <w:rFonts w:ascii="Calibri" w:hAnsi="Calibri"/>
                <w:sz w:val="22"/>
              </w:rPr>
              <w:t>Q1 FY2027 (Quarter ending June 30, 2026)</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modestly constructive — consensus sits just above the guidance midpoint on EPS, the bar is achievable, and the biggest swing factor is whether </w:t>
      </w:r>
      <w:r>
        <w:rPr>
          <w:rFonts w:ascii="Calibri" w:hAnsi="Calibri"/>
          <w:b/>
          <w:color w:val="525866"/>
          <w:sz w:val="22"/>
        </w:rPr>
        <w:t>HOKA DTC momentum</w:t>
      </w:r>
      <w:r>
        <w:rPr>
          <w:rFonts w:ascii="Calibri" w:hAnsi="Calibri"/>
          <w:color w:val="525866"/>
          <w:sz w:val="22"/>
        </w:rPr>
        <w:t xml:space="preserve"> can offset known wholesale timing headwinds in Q1.</w:t>
      </w:r>
    </w:p>
    <w:p>
      <w:r>
        <w:rPr>
          <w:rFonts w:ascii="Calibri" w:hAnsi="Calibri"/>
          <w:color w:val="525866"/>
          <w:sz w:val="22"/>
        </w:rPr>
        <w:t xml:space="preserve">Heading into DECK's Q1 FY2027 print, the </w:t>
      </w:r>
      <w:r>
        <w:rPr>
          <w:rFonts w:ascii="Calibri" w:hAnsi="Calibri"/>
          <w:b/>
          <w:color w:val="525866"/>
          <w:sz w:val="22"/>
        </w:rPr>
        <w:t>bar is manageable but not low</w:t>
      </w:r>
      <w:r>
        <w:rPr>
          <w:rFonts w:ascii="Calibri" w:hAnsi="Calibri"/>
          <w:color w:val="525866"/>
          <w:sz w:val="22"/>
        </w:rPr>
        <w:t xml:space="preserve">: management guided Q1 revenue up ~5% to deliver its first-ever $1B June-quarter, with EPS in the range of $0.82–$0.87, and consensus at $0.875 sits just above the midpoint of that range. The tone from the May 21 earnings call was </w:t>
      </w:r>
      <w:r>
        <w:rPr>
          <w:rFonts w:ascii="Calibri" w:hAnsi="Calibri"/>
          <w:b/>
          <w:color w:val="525866"/>
          <w:sz w:val="22"/>
        </w:rPr>
        <w:t>confident and directional</w:t>
      </w:r>
      <w:r>
        <w:rPr>
          <w:rFonts w:ascii="Calibri" w:hAnsi="Calibri"/>
          <w:color w:val="525866"/>
          <w:sz w:val="22"/>
        </w:rPr>
        <w:t xml:space="preserve"> — management introduced a formal FY2027–FY2030 multi-year framework and explicitly noted it is "not a conservative guide," a meaningful departure from DECK's historically cautious posture. Estimate revisions since the Q4 print have been essentially flat, suggesting the Street has largely digested guidance without adding incremental cushion or risk. The stock has </w:t>
      </w:r>
      <w:r>
        <w:rPr>
          <w:rFonts w:ascii="Calibri" w:hAnsi="Calibri"/>
          <w:b/>
          <w:color w:val="525866"/>
          <w:sz w:val="22"/>
        </w:rPr>
        <w:t>given back all of its post-earnings gains</w:t>
      </w:r>
      <w:r>
        <w:rPr>
          <w:rFonts w:ascii="Calibri" w:hAnsi="Calibri"/>
          <w:color w:val="525866"/>
          <w:sz w:val="22"/>
        </w:rPr>
        <w:t xml:space="preserve"> and is trading roughly flat to the May 21 close (~$102), underperforming both NKE and the S&amp;P 500 since the print, which implies the market is not pricing in a beat — a setup that historically favors upside surprise if execution holds. The key wildcard is </w:t>
      </w:r>
      <w:r>
        <w:rPr>
          <w:rFonts w:ascii="Calibri" w:hAnsi="Calibri"/>
          <w:b/>
          <w:color w:val="525866"/>
          <w:sz w:val="22"/>
        </w:rPr>
        <w:t>HOKA wholesale timing</w:t>
      </w:r>
      <w:r>
        <w:rPr>
          <w:rFonts w:ascii="Calibri" w:hAnsi="Calibri"/>
          <w:color w:val="525866"/>
          <w:sz w:val="22"/>
        </w:rPr>
        <w:t>: management flagged earlier EMEA warehouse shipments in the prior year and delayed APAC distributor shipments ahead of the Clifton launch as headwinds to Q1 wholesale, meaning HOKA's reported growth could look optically soft even if underlying demand is healthy — the market's read-through on that distinction will likely determine the stock's reaction.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at $1.018B revenue and $0.875 EPS for Q1 FY2027 — both just above the guidance midpoint, leaving limited cushion. </w:t>
      </w:r>
      <w:r>
        <w:rPr>
          <w:rFonts w:ascii="Calibri" w:hAnsi="Calibri"/>
          <w:b/>
          <w:color w:val="525866"/>
          <w:sz w:val="22"/>
        </w:rPr>
        <w:t>HOKA revenue growth</w:t>
      </w:r>
      <w:r>
        <w:rPr>
          <w:rFonts w:ascii="Calibri" w:hAnsi="Calibri"/>
          <w:color w:val="525866"/>
          <w:sz w:val="22"/>
        </w:rPr>
        <w:t xml:space="preserve"> is the bigger swing factor; gross margin is the key profitability read given known tariff and freight headwinds.</w:t>
      </w:r>
    </w:p>
    <w:p>
      <w:pPr>
        <w:pStyle w:val="Heading3"/>
      </w:pPr>
      <w:r>
        <w:rPr>
          <w:rFonts w:ascii="Calibri" w:hAnsi="Calibri"/>
          <w:b/>
          <w:color w:val="3B4259"/>
          <w:sz w:val="24"/>
        </w:rPr>
        <w:t>Table 1 — Q1 FY2027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(Q4 FY2026)</w:t>
            </w:r>
          </w:p>
        </w:tc>
        <w:tc>
          <w:tcPr>
            <w:tcW w:type="dxa" w:w="1234"/>
            <w:shd w:val="clear" w:color="auto" w:fill="3B4259"/>
          </w:tcPr>
          <w:p>
            <w:r>
              <w:rPr>
                <w:rFonts w:ascii="Calibri" w:hAnsi="Calibri"/>
                <w:b/>
                <w:color w:val="FFFFFF"/>
                <w:sz w:val="22"/>
              </w:rPr>
              <w:t>Prior Year Period (Q1 FY2026)</w:t>
            </w:r>
          </w:p>
        </w:tc>
        <w:tc>
          <w:tcPr>
            <w:tcW w:type="dxa" w:w="1234"/>
            <w:shd w:val="clear" w:color="auto" w:fill="3B4259"/>
          </w:tcPr>
          <w:p>
            <w:r>
              <w:rPr>
                <w:rFonts w:ascii="Calibri" w:hAnsi="Calibri"/>
                <w:b/>
                <w:color w:val="FFFFFF"/>
                <w:sz w:val="22"/>
              </w:rPr>
              <w:t>Q1 FY2027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(Q1 FY2027)</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$1,119.4M</w:t>
            </w:r>
          </w:p>
        </w:tc>
        <w:tc>
          <w:tcPr>
            <w:tcW w:type="dxa" w:w="1234"/>
          </w:tcPr>
          <w:p>
            <w:r>
              <w:rPr>
                <w:rFonts w:ascii="Calibri" w:hAnsi="Calibri"/>
                <w:sz w:val="22"/>
              </w:rPr>
              <w:t>$964.5M</w:t>
            </w:r>
          </w:p>
        </w:tc>
        <w:tc>
          <w:tcPr>
            <w:tcW w:type="dxa" w:w="1234"/>
          </w:tcPr>
          <w:p>
            <w:r>
              <w:rPr>
                <w:rFonts w:ascii="Calibri" w:hAnsi="Calibri"/>
                <w:sz w:val="22"/>
              </w:rPr>
              <w:t>$1,018.1M</w:t>
            </w:r>
          </w:p>
        </w:tc>
        <w:tc>
          <w:tcPr>
            <w:tcW w:type="dxa" w:w="1234"/>
          </w:tcPr>
          <w:p>
            <w:r>
              <w:rPr>
                <w:rFonts w:ascii="Calibri" w:hAnsi="Calibri"/>
                <w:sz w:val="22"/>
              </w:rPr>
              <w:t>+5.6%</w:t>
            </w:r>
          </w:p>
        </w:tc>
        <w:tc>
          <w:tcPr>
            <w:tcW w:type="dxa" w:w="1234"/>
          </w:tcPr>
          <w:p>
            <w:r>
              <w:rPr>
                <w:rFonts w:ascii="Calibri" w:hAnsi="Calibri"/>
                <w:sz w:val="22"/>
              </w:rPr>
              <w:t>~$1,000M (up ~5%)</w:t>
            </w:r>
          </w:p>
        </w:tc>
        <w:tc>
          <w:tcPr>
            <w:tcW w:type="dxa" w:w="1234"/>
          </w:tcPr>
          <w:p>
            <w:r>
              <w:rPr>
                <w:rFonts w:ascii="Calibri" w:hAnsi="Calibri"/>
                <w:sz w:val="22"/>
              </w:rPr>
              <w:t>+1.8%</w:t>
            </w:r>
          </w:p>
        </w:tc>
      </w:tr>
      <w:tr>
        <w:tc>
          <w:tcPr>
            <w:tcW w:type="dxa" w:w="1234"/>
          </w:tcPr>
          <w:p>
            <w:r>
              <w:rPr>
                <w:rFonts w:ascii="Calibri" w:hAnsi="Calibri"/>
                <w:sz w:val="22"/>
              </w:rPr>
              <w:t>HOKA Revenue ($M)</w:t>
            </w:r>
          </w:p>
        </w:tc>
        <w:tc>
          <w:tcPr>
            <w:tcW w:type="dxa" w:w="1234"/>
          </w:tcPr>
          <w:p>
            <w:r>
              <w:rPr>
                <w:rFonts w:ascii="Calibri" w:hAnsi="Calibri"/>
                <w:sz w:val="22"/>
              </w:rPr>
              <w:t>$671.2M</w:t>
            </w:r>
          </w:p>
        </w:tc>
        <w:tc>
          <w:tcPr>
            <w:tcW w:type="dxa" w:w="1234"/>
          </w:tcPr>
          <w:p>
            <w:r>
              <w:rPr>
                <w:rFonts w:ascii="Calibri" w:hAnsi="Calibri"/>
                <w:sz w:val="22"/>
              </w:rPr>
              <w:t>$653.1M</w:t>
            </w:r>
          </w:p>
        </w:tc>
        <w:tc>
          <w:tcPr>
            <w:tcW w:type="dxa" w:w="1234"/>
          </w:tcPr>
          <w:p>
            <w:r>
              <w:rPr>
                <w:rFonts w:ascii="Calibri" w:hAnsi="Calibri"/>
                <w:sz w:val="22"/>
              </w:rPr>
              <w:t>$704.8M</w:t>
            </w:r>
          </w:p>
        </w:tc>
        <w:tc>
          <w:tcPr>
            <w:tcW w:type="dxa" w:w="1234"/>
          </w:tcPr>
          <w:p>
            <w:r>
              <w:rPr>
                <w:rFonts w:ascii="Calibri" w:hAnsi="Calibri"/>
                <w:sz w:val="22"/>
              </w:rPr>
              <w:t>+7.9%</w:t>
            </w:r>
          </w:p>
        </w:tc>
        <w:tc>
          <w:tcPr>
            <w:tcW w:type="dxa" w:w="1234"/>
          </w:tcPr>
          <w:p>
            <w:r>
              <w:rPr>
                <w:rFonts w:ascii="Calibri" w:hAnsi="Calibri"/>
                <w:sz w:val="22"/>
              </w:rPr>
              <w:t>High single-digit growth</w:t>
            </w:r>
          </w:p>
        </w:tc>
        <w:tc>
          <w:tcPr>
            <w:tcW w:type="dxa" w:w="1234"/>
          </w:tcPr>
          <w:p>
            <w:r>
              <w:rPr>
                <w:rFonts w:ascii="Calibri" w:hAnsi="Calibri"/>
                <w:sz w:val="22"/>
              </w:rPr>
              <w:t>~+5% above implied midpoint</w:t>
            </w:r>
          </w:p>
        </w:tc>
      </w:tr>
      <w:tr>
        <w:tc>
          <w:tcPr>
            <w:tcW w:type="dxa" w:w="1234"/>
          </w:tcPr>
          <w:p>
            <w:r>
              <w:rPr>
                <w:rFonts w:ascii="Calibri" w:hAnsi="Calibri"/>
                <w:sz w:val="22"/>
              </w:rPr>
              <w:t>UGG Revenue ($M)</w:t>
            </w:r>
          </w:p>
        </w:tc>
        <w:tc>
          <w:tcPr>
            <w:tcW w:type="dxa" w:w="1234"/>
          </w:tcPr>
          <w:p>
            <w:r>
              <w:rPr>
                <w:rFonts w:ascii="Calibri" w:hAnsi="Calibri"/>
                <w:sz w:val="22"/>
              </w:rPr>
              <w:t>$408.6M</w:t>
            </w:r>
          </w:p>
        </w:tc>
        <w:tc>
          <w:tcPr>
            <w:tcW w:type="dxa" w:w="1234"/>
          </w:tcPr>
          <w:p>
            <w:r>
              <w:rPr>
                <w:rFonts w:ascii="Calibri" w:hAnsi="Calibri"/>
                <w:sz w:val="22"/>
              </w:rPr>
              <w:t>$265.1M</w:t>
            </w:r>
          </w:p>
        </w:tc>
        <w:tc>
          <w:tcPr>
            <w:tcW w:type="dxa" w:w="1234"/>
          </w:tcPr>
          <w:p>
            <w:r>
              <w:rPr>
                <w:rFonts w:ascii="Calibri" w:hAnsi="Calibri"/>
                <w:sz w:val="22"/>
              </w:rPr>
              <w:t>$277.0M</w:t>
            </w:r>
          </w:p>
        </w:tc>
        <w:tc>
          <w:tcPr>
            <w:tcW w:type="dxa" w:w="1234"/>
          </w:tcPr>
          <w:p>
            <w:r>
              <w:rPr>
                <w:rFonts w:ascii="Calibri" w:hAnsi="Calibri"/>
                <w:sz w:val="22"/>
              </w:rPr>
              <w:t>+4.5%</w:t>
            </w:r>
          </w:p>
        </w:tc>
        <w:tc>
          <w:tcPr>
            <w:tcW w:type="dxa" w:w="1234"/>
          </w:tcPr>
          <w:p>
            <w:r>
              <w:rPr>
                <w:rFonts w:ascii="Calibri" w:hAnsi="Calibri"/>
                <w:sz w:val="22"/>
              </w:rPr>
              <w:t>Mid-single-digit growth</w:t>
            </w:r>
          </w:p>
        </w:tc>
        <w:tc>
          <w:tcPr>
            <w:tcW w:type="dxa" w:w="1234"/>
          </w:tcPr>
          <w:p>
            <w:r>
              <w:rPr>
                <w:rFonts w:ascii="Calibri" w:hAnsi="Calibri"/>
                <w:sz w:val="22"/>
              </w:rPr>
              <w:t>In line with guidance</w:t>
            </w:r>
          </w:p>
        </w:tc>
      </w:tr>
      <w:tr>
        <w:tc>
          <w:tcPr>
            <w:tcW w:type="dxa" w:w="1234"/>
          </w:tcPr>
          <w:p>
            <w:r>
              <w:rPr>
                <w:rFonts w:ascii="Calibri" w:hAnsi="Calibri"/>
                <w:sz w:val="22"/>
              </w:rPr>
              <w:t>Gross Profit ($M)</w:t>
            </w:r>
          </w:p>
        </w:tc>
        <w:tc>
          <w:tcPr>
            <w:tcW w:type="dxa" w:w="1234"/>
          </w:tcPr>
          <w:p>
            <w:r>
              <w:rPr>
                <w:rFonts w:ascii="Calibri" w:hAnsi="Calibri"/>
                <w:sz w:val="22"/>
              </w:rPr>
              <w:t>$644.6M</w:t>
            </w:r>
          </w:p>
        </w:tc>
        <w:tc>
          <w:tcPr>
            <w:tcW w:type="dxa" w:w="1234"/>
          </w:tcPr>
          <w:p>
            <w:r>
              <w:rPr>
                <w:rFonts w:ascii="Calibri" w:hAnsi="Calibri"/>
                <w:sz w:val="22"/>
              </w:rPr>
              <w:t>$537.9M</w:t>
            </w:r>
          </w:p>
        </w:tc>
        <w:tc>
          <w:tcPr>
            <w:tcW w:type="dxa" w:w="1234"/>
          </w:tcPr>
          <w:p>
            <w:r>
              <w:rPr>
                <w:rFonts w:ascii="Calibri" w:hAnsi="Calibri"/>
                <w:sz w:val="22"/>
              </w:rPr>
              <w:t>$554.3M</w:t>
            </w:r>
          </w:p>
        </w:tc>
        <w:tc>
          <w:tcPr>
            <w:tcW w:type="dxa" w:w="1234"/>
          </w:tcPr>
          <w:p>
            <w:r>
              <w:rPr>
                <w:rFonts w:ascii="Calibri" w:hAnsi="Calibri"/>
                <w:sz w:val="22"/>
              </w:rPr>
              <w:t>+3.0%</w:t>
            </w:r>
          </w:p>
        </w:tc>
        <w:tc>
          <w:tcPr>
            <w:tcW w:type="dxa" w:w="1234"/>
          </w:tcPr>
          <w:p>
            <w:r>
              <w:rPr>
                <w:rFonts w:ascii="Calibri" w:hAnsi="Calibri"/>
                <w:sz w:val="22"/>
              </w:rPr>
              <w:t>~56.5% FY GM; Q1 down YoY</w:t>
            </w:r>
          </w:p>
        </w:tc>
        <w:tc>
          <w:tcPr>
            <w:tcW w:type="dxa" w:w="1234"/>
          </w:tcPr>
          <w:p>
            <w:r>
              <w:rPr>
                <w:rFonts w:ascii="Calibri" w:hAnsi="Calibri"/>
                <w:sz w:val="22"/>
              </w:rPr>
              <w:t>N/A — no Q1 GM $ guidance</w:t>
            </w:r>
          </w:p>
        </w:tc>
      </w:tr>
      <w:tr>
        <w:tc>
          <w:tcPr>
            <w:tcW w:type="dxa" w:w="1234"/>
          </w:tcPr>
          <w:p>
            <w:r>
              <w:rPr>
                <w:rFonts w:ascii="Calibri" w:hAnsi="Calibri"/>
                <w:sz w:val="22"/>
              </w:rPr>
              <w:t>Operating Income ($M)</w:t>
            </w:r>
          </w:p>
        </w:tc>
        <w:tc>
          <w:tcPr>
            <w:tcW w:type="dxa" w:w="1234"/>
          </w:tcPr>
          <w:p>
            <w:r>
              <w:rPr>
                <w:rFonts w:ascii="Calibri" w:hAnsi="Calibri"/>
                <w:sz w:val="22"/>
              </w:rPr>
              <w:t>$156.7M</w:t>
            </w:r>
          </w:p>
        </w:tc>
        <w:tc>
          <w:tcPr>
            <w:tcW w:type="dxa" w:w="1234"/>
          </w:tcPr>
          <w:p>
            <w:r>
              <w:rPr>
                <w:rFonts w:ascii="Calibri" w:hAnsi="Calibri"/>
                <w:sz w:val="22"/>
              </w:rPr>
              <w:t>$165.3M</w:t>
            </w:r>
          </w:p>
        </w:tc>
        <w:tc>
          <w:tcPr>
            <w:tcW w:type="dxa" w:w="1234"/>
          </w:tcPr>
          <w:p>
            <w:r>
              <w:rPr>
                <w:rFonts w:ascii="Calibri" w:hAnsi="Calibri"/>
                <w:sz w:val="22"/>
              </w:rPr>
              <w:t>$144.4M</w:t>
            </w:r>
          </w:p>
        </w:tc>
        <w:tc>
          <w:tcPr>
            <w:tcW w:type="dxa" w:w="1234"/>
          </w:tcPr>
          <w:p>
            <w:r>
              <w:rPr>
                <w:rFonts w:ascii="Calibri" w:hAnsi="Calibri"/>
                <w:sz w:val="22"/>
              </w:rPr>
              <w:t>-12.6%</w:t>
            </w:r>
          </w:p>
        </w:tc>
        <w:tc>
          <w:tcPr>
            <w:tcW w:type="dxa" w:w="1234"/>
          </w:tcPr>
          <w:p>
            <w:r>
              <w:rPr>
                <w:rFonts w:ascii="Calibri" w:hAnsi="Calibri"/>
                <w:sz w:val="22"/>
              </w:rPr>
              <w:t>~21.5% FY op. margin</w:t>
            </w:r>
          </w:p>
        </w:tc>
        <w:tc>
          <w:tcPr>
            <w:tcW w:type="dxa" w:w="1234"/>
          </w:tcPr>
          <w:p>
            <w:r>
              <w:rPr>
                <w:rFonts w:ascii="Calibri" w:hAnsi="Calibri"/>
                <w:sz w:val="22"/>
              </w:rPr>
              <w:t>N/A — no Q1 OI guidance</w:t>
            </w:r>
          </w:p>
        </w:tc>
      </w:tr>
      <w:tr>
        <w:tc>
          <w:tcPr>
            <w:tcW w:type="dxa" w:w="1234"/>
          </w:tcPr>
          <w:p>
            <w:r>
              <w:rPr>
                <w:rFonts w:ascii="Calibri" w:hAnsi="Calibri"/>
                <w:sz w:val="22"/>
              </w:rPr>
              <w:t>EPS — Diluted Operating ($)</w:t>
            </w:r>
          </w:p>
        </w:tc>
        <w:tc>
          <w:tcPr>
            <w:tcW w:type="dxa" w:w="1234"/>
          </w:tcPr>
          <w:p>
            <w:r>
              <w:rPr>
                <w:rFonts w:ascii="Calibri" w:hAnsi="Calibri"/>
                <w:sz w:val="22"/>
              </w:rPr>
              <w:t>$0.96</w:t>
            </w:r>
          </w:p>
        </w:tc>
        <w:tc>
          <w:tcPr>
            <w:tcW w:type="dxa" w:w="1234"/>
          </w:tcPr>
          <w:p>
            <w:r>
              <w:rPr>
                <w:rFonts w:ascii="Calibri" w:hAnsi="Calibri"/>
                <w:sz w:val="22"/>
              </w:rPr>
              <w:t>$0.93</w:t>
            </w:r>
          </w:p>
        </w:tc>
        <w:tc>
          <w:tcPr>
            <w:tcW w:type="dxa" w:w="1234"/>
          </w:tcPr>
          <w:p>
            <w:r>
              <w:rPr>
                <w:rFonts w:ascii="Calibri" w:hAnsi="Calibri"/>
                <w:sz w:val="22"/>
              </w:rPr>
              <w:t>$0.875</w:t>
            </w:r>
          </w:p>
        </w:tc>
        <w:tc>
          <w:tcPr>
            <w:tcW w:type="dxa" w:w="1234"/>
          </w:tcPr>
          <w:p>
            <w:r>
              <w:rPr>
                <w:rFonts w:ascii="Calibri" w:hAnsi="Calibri"/>
                <w:sz w:val="22"/>
              </w:rPr>
              <w:t>-5.9%</w:t>
            </w:r>
          </w:p>
        </w:tc>
        <w:tc>
          <w:tcPr>
            <w:tcW w:type="dxa" w:w="1234"/>
          </w:tcPr>
          <w:p>
            <w:r>
              <w:rPr>
                <w:rFonts w:ascii="Calibri" w:hAnsi="Calibri"/>
                <w:sz w:val="22"/>
              </w:rPr>
              <w:t>$0.82–$0.87</w:t>
            </w:r>
          </w:p>
        </w:tc>
        <w:tc>
          <w:tcPr>
            <w:tcW w:type="dxa" w:w="1234"/>
          </w:tcPr>
          <w:p>
            <w:r>
              <w:rPr>
                <w:rFonts w:ascii="Calibri" w:hAnsi="Calibri"/>
                <w:sz w:val="22"/>
              </w:rPr>
              <w:t>+1.5% above midpoint</w:t>
            </w:r>
          </w:p>
        </w:tc>
      </w:tr>
      <w:tr>
        <w:tc>
          <w:tcPr>
            <w:tcW w:type="dxa" w:w="1234"/>
          </w:tcPr>
          <w:p>
            <w:r>
              <w:rPr>
                <w:rFonts w:ascii="Calibri" w:hAnsi="Calibri"/>
                <w:sz w:val="22"/>
              </w:rPr>
              <w:t>International Revenue ($M)</w:t>
            </w:r>
          </w:p>
        </w:tc>
        <w:tc>
          <w:tcPr>
            <w:tcW w:type="dxa" w:w="1234"/>
          </w:tcPr>
          <w:p>
            <w:r>
              <w:rPr>
                <w:rFonts w:ascii="Calibri" w:hAnsi="Calibri"/>
                <w:sz w:val="22"/>
              </w:rPr>
              <w:t>$469.5M</w:t>
            </w:r>
          </w:p>
        </w:tc>
        <w:tc>
          <w:tcPr>
            <w:tcW w:type="dxa" w:w="1234"/>
          </w:tcPr>
          <w:p>
            <w:r>
              <w:rPr>
                <w:rFonts w:ascii="Calibri" w:hAnsi="Calibri"/>
                <w:sz w:val="22"/>
              </w:rPr>
              <w:t>$463.3M</w:t>
            </w:r>
          </w:p>
        </w:tc>
        <w:tc>
          <w:tcPr>
            <w:tcW w:type="dxa" w:w="1234"/>
          </w:tcPr>
          <w:p>
            <w:r>
              <w:rPr>
                <w:rFonts w:ascii="Calibri" w:hAnsi="Calibri"/>
                <w:sz w:val="22"/>
              </w:rPr>
              <w:t>$514.3M</w:t>
            </w:r>
          </w:p>
        </w:tc>
        <w:tc>
          <w:tcPr>
            <w:tcW w:type="dxa" w:w="1234"/>
          </w:tcPr>
          <w:p>
            <w:r>
              <w:rPr>
                <w:rFonts w:ascii="Calibri" w:hAnsi="Calibri"/>
                <w:sz w:val="22"/>
              </w:rPr>
              <w:t>+11.0%</w:t>
            </w:r>
          </w:p>
        </w:tc>
        <w:tc>
          <w:tcPr>
            <w:tcW w:type="dxa" w:w="1234"/>
          </w:tcPr>
          <w:p>
            <w:r>
              <w:rPr>
                <w:rFonts w:ascii="Calibri" w:hAnsi="Calibri"/>
                <w:sz w:val="22"/>
              </w:rPr>
              <w:t>Double-digit intl. growth (HOKA)</w:t>
            </w:r>
          </w:p>
        </w:tc>
        <w:tc>
          <w:tcPr>
            <w:tcW w:type="dxa" w:w="1234"/>
          </w:tcPr>
          <w:p>
            <w:r>
              <w:rPr>
                <w:rFonts w:ascii="Calibri" w:hAnsi="Calibri"/>
                <w:sz w:val="22"/>
              </w:rPr>
              <w:t>In line with guidance</w:t>
            </w:r>
          </w:p>
        </w:tc>
      </w:tr>
      <w:tr>
        <w:tc>
          <w:tcPr>
            <w:tcW w:type="dxa" w:w="1234"/>
          </w:tcPr>
          <w:p>
            <w:r>
              <w:rPr>
                <w:rFonts w:ascii="Calibri" w:hAnsi="Calibri"/>
                <w:sz w:val="22"/>
              </w:rPr>
              <w:t>Comparable DTC Sales Growth (%)</w:t>
            </w:r>
          </w:p>
        </w:tc>
        <w:tc>
          <w:tcPr>
            <w:tcW w:type="dxa" w:w="1234"/>
          </w:tcPr>
          <w:p>
            <w:r>
              <w:rPr>
                <w:rFonts w:ascii="Calibri" w:hAnsi="Calibri"/>
                <w:sz w:val="22"/>
              </w:rPr>
              <w:t>+8.2%</w:t>
            </w:r>
          </w:p>
        </w:tc>
        <w:tc>
          <w:tcPr>
            <w:tcW w:type="dxa" w:w="1234"/>
          </w:tcPr>
          <w:p>
            <w:r>
              <w:rPr>
                <w:rFonts w:ascii="Calibri" w:hAnsi="Calibri"/>
                <w:sz w:val="22"/>
              </w:rPr>
              <w:t>-2.2%</w:t>
            </w:r>
          </w:p>
        </w:tc>
        <w:tc>
          <w:tcPr>
            <w:tcW w:type="dxa" w:w="1234"/>
          </w:tcPr>
          <w:p>
            <w:r>
              <w:rPr>
                <w:rFonts w:ascii="Calibri" w:hAnsi="Calibri"/>
                <w:sz w:val="22"/>
              </w:rPr>
              <w:t>+1.8%</w:t>
            </w:r>
          </w:p>
        </w:tc>
        <w:tc>
          <w:tcPr>
            <w:tcW w:type="dxa" w:w="1234"/>
          </w:tcPr>
          <w:p>
            <w:r>
              <w:rPr>
                <w:rFonts w:ascii="Calibri" w:hAnsi="Calibri"/>
                <w:sz w:val="22"/>
              </w:rPr>
              <w:t>~+400 bps improvement</w:t>
            </w:r>
          </w:p>
        </w:tc>
        <w:tc>
          <w:tcPr>
            <w:tcW w:type="dxa" w:w="1234"/>
          </w:tcPr>
          <w:p>
            <w:r>
              <w:rPr>
                <w:rFonts w:ascii="Calibri" w:hAnsi="Calibri"/>
                <w:sz w:val="22"/>
              </w:rPr>
              <w:t>Primarily DTC-driven growth</w:t>
            </w:r>
          </w:p>
        </w:tc>
        <w:tc>
          <w:tcPr>
            <w:tcW w:type="dxa" w:w="1234"/>
          </w:tcPr>
          <w:p>
            <w:r>
              <w:rPr>
                <w:rFonts w:ascii="Calibri" w:hAnsi="Calibri"/>
                <w:sz w:val="22"/>
              </w:rPr>
              <w:t>N/A — no specific guidance</w:t>
            </w:r>
          </w:p>
        </w:tc>
      </w:tr>
    </w:tbl>
    <w:p>
      <w:r>
        <w:rPr>
          <w:rFonts w:ascii="Calibri" w:hAnsi="Calibri"/>
          <w:i/>
          <w:color w:val="525866"/>
          <w:sz w:val="22"/>
        </w:rPr>
        <w:t>Source: Visible Alpha Consensus and Actuals Data. All consensus figures as of July 22, 2026. Q1 FY2027 = quarter ending June 30, 2026. Prior year period = Q1 FY2026 (quarter ending June 30, 2025). Guidance from Q4 FY2026 earnings call (May 21, 2026).</w:t>
      </w:r>
    </w:p>
    <w:p>
      <w:pPr>
        <w:pStyle w:val="Heading3"/>
      </w:pPr>
      <w:r>
        <w:rPr>
          <w:rFonts w:ascii="Calibri" w:hAnsi="Calibri"/>
          <w:b/>
          <w:color w:val="3B4259"/>
          <w:sz w:val="24"/>
        </w:rPr>
        <w:t>Table 2 — Beat/Miss History (Last 8 Quarters)</w:t>
      </w:r>
    </w:p>
    <w:p>
      <w:r>
        <w:rPr>
          <w:rFonts w:ascii="Calibri" w:hAnsi="Calibri"/>
          <w:b/>
          <w:color w:val="525866"/>
          <w:sz w:val="22"/>
        </w:rPr>
        <w:t>Top 2 KPIs: Total Revenue and EPS — Diluted Operating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Q4 FY2026</w:t>
            </w:r>
          </w:p>
        </w:tc>
        <w:tc>
          <w:tcPr>
            <w:tcW w:type="dxa" w:w="1440"/>
          </w:tcPr>
          <w:p>
            <w:r>
              <w:rPr>
                <w:rFonts w:ascii="Calibri" w:hAnsi="Calibri"/>
                <w:sz w:val="22"/>
              </w:rPr>
              <w:t>Revenue ($M)</w:t>
            </w:r>
          </w:p>
        </w:tc>
        <w:tc>
          <w:tcPr>
            <w:tcW w:type="dxa" w:w="1440"/>
          </w:tcPr>
          <w:p>
            <w:r>
              <w:rPr>
                <w:rFonts w:ascii="Calibri" w:hAnsi="Calibri"/>
                <w:sz w:val="22"/>
              </w:rPr>
              <w:t>$1,119.4M</w:t>
            </w:r>
          </w:p>
        </w:tc>
        <w:tc>
          <w:tcPr>
            <w:tcW w:type="dxa" w:w="1440"/>
          </w:tcPr>
          <w:p>
            <w:r>
              <w:rPr>
                <w:rFonts w:ascii="Calibri" w:hAnsi="Calibri"/>
                <w:sz w:val="22"/>
              </w:rPr>
              <w:t>$1,087.7M</w:t>
            </w:r>
          </w:p>
        </w:tc>
        <w:tc>
          <w:tcPr>
            <w:tcW w:type="dxa" w:w="1440"/>
          </w:tcPr>
          <w:p>
            <w:r>
              <w:rPr>
                <w:rFonts w:ascii="Calibri" w:hAnsi="Calibri"/>
                <w:b/>
                <w:color w:val="30A46C"/>
                <w:sz w:val="22"/>
              </w:rPr>
              <w:t>+2.9%</w:t>
            </w:r>
          </w:p>
        </w:tc>
        <w:tc>
          <w:tcPr>
            <w:tcW w:type="dxa" w:w="1440"/>
          </w:tcPr>
          <w:p>
            <w:r>
              <w:rPr>
                <w:rFonts w:ascii="Calibri" w:hAnsi="Calibri"/>
                <w:sz w:val="22"/>
              </w:rPr>
              <w:t>Beat</w:t>
            </w:r>
          </w:p>
        </w:tc>
      </w:tr>
      <w:tr>
        <w:tc>
          <w:tcPr>
            <w:tcW w:type="dxa" w:w="1440"/>
          </w:tcPr>
          <w:p>
            <w:r>
              <w:rPr>
                <w:rFonts w:ascii="Calibri" w:hAnsi="Calibri"/>
                <w:sz w:val="22"/>
              </w:rPr>
              <w:t>Q4 FY2026</w:t>
            </w:r>
          </w:p>
        </w:tc>
        <w:tc>
          <w:tcPr>
            <w:tcW w:type="dxa" w:w="1440"/>
          </w:tcPr>
          <w:p>
            <w:r>
              <w:rPr>
                <w:rFonts w:ascii="Calibri" w:hAnsi="Calibri"/>
                <w:sz w:val="22"/>
              </w:rPr>
              <w:t>EPS ($)</w:t>
            </w:r>
          </w:p>
        </w:tc>
        <w:tc>
          <w:tcPr>
            <w:tcW w:type="dxa" w:w="1440"/>
          </w:tcPr>
          <w:p>
            <w:r>
              <w:rPr>
                <w:rFonts w:ascii="Calibri" w:hAnsi="Calibri"/>
                <w:sz w:val="22"/>
              </w:rPr>
              <w:t>$0.96</w:t>
            </w:r>
          </w:p>
        </w:tc>
        <w:tc>
          <w:tcPr>
            <w:tcW w:type="dxa" w:w="1440"/>
          </w:tcPr>
          <w:p>
            <w:r>
              <w:rPr>
                <w:rFonts w:ascii="Calibri" w:hAnsi="Calibri"/>
                <w:sz w:val="22"/>
              </w:rPr>
              <w:t>$0.835</w:t>
            </w:r>
          </w:p>
        </w:tc>
        <w:tc>
          <w:tcPr>
            <w:tcW w:type="dxa" w:w="1440"/>
          </w:tcPr>
          <w:p>
            <w:r>
              <w:rPr>
                <w:rFonts w:ascii="Calibri" w:hAnsi="Calibri"/>
                <w:b/>
                <w:color w:val="30A46C"/>
                <w:sz w:val="22"/>
              </w:rPr>
              <w:t>+15.0%</w:t>
            </w:r>
          </w:p>
        </w:tc>
        <w:tc>
          <w:tcPr>
            <w:tcW w:type="dxa" w:w="1440"/>
          </w:tcPr>
          <w:p>
            <w:r>
              <w:rPr>
                <w:rFonts w:ascii="Calibri" w:hAnsi="Calibri"/>
                <w:sz w:val="22"/>
              </w:rPr>
              <w:t>Beat</w:t>
            </w:r>
          </w:p>
        </w:tc>
      </w:tr>
      <w:tr>
        <w:tc>
          <w:tcPr>
            <w:tcW w:type="dxa" w:w="1440"/>
          </w:tcPr>
          <w:p>
            <w:r>
              <w:rPr>
                <w:rFonts w:ascii="Calibri" w:hAnsi="Calibri"/>
                <w:sz w:val="22"/>
              </w:rPr>
              <w:t>Q3 FY2026</w:t>
            </w:r>
          </w:p>
        </w:tc>
        <w:tc>
          <w:tcPr>
            <w:tcW w:type="dxa" w:w="1440"/>
          </w:tcPr>
          <w:p>
            <w:r>
              <w:rPr>
                <w:rFonts w:ascii="Calibri" w:hAnsi="Calibri"/>
                <w:sz w:val="22"/>
              </w:rPr>
              <w:t>Revenue ($M)</w:t>
            </w:r>
          </w:p>
        </w:tc>
        <w:tc>
          <w:tcPr>
            <w:tcW w:type="dxa" w:w="1440"/>
          </w:tcPr>
          <w:p>
            <w:r>
              <w:rPr>
                <w:rFonts w:ascii="Calibri" w:hAnsi="Calibri"/>
                <w:sz w:val="22"/>
              </w:rPr>
              <w:t>$1,957.6M</w:t>
            </w:r>
          </w:p>
        </w:tc>
        <w:tc>
          <w:tcPr>
            <w:tcW w:type="dxa" w:w="1440"/>
          </w:tcPr>
          <w:p>
            <w:r>
              <w:rPr>
                <w:rFonts w:ascii="Calibri" w:hAnsi="Calibri"/>
                <w:sz w:val="22"/>
              </w:rPr>
              <w:t>$1,870.5M</w:t>
            </w:r>
          </w:p>
        </w:tc>
        <w:tc>
          <w:tcPr>
            <w:tcW w:type="dxa" w:w="1440"/>
          </w:tcPr>
          <w:p>
            <w:r>
              <w:rPr>
                <w:rFonts w:ascii="Calibri" w:hAnsi="Calibri"/>
                <w:b/>
                <w:color w:val="30A46C"/>
                <w:sz w:val="22"/>
              </w:rPr>
              <w:t>+4.7%</w:t>
            </w:r>
          </w:p>
        </w:tc>
        <w:tc>
          <w:tcPr>
            <w:tcW w:type="dxa" w:w="1440"/>
          </w:tcPr>
          <w:p>
            <w:r>
              <w:rPr>
                <w:rFonts w:ascii="Calibri" w:hAnsi="Calibri"/>
                <w:sz w:val="22"/>
              </w:rPr>
              <w:t>Beat</w:t>
            </w:r>
          </w:p>
        </w:tc>
      </w:tr>
      <w:tr>
        <w:tc>
          <w:tcPr>
            <w:tcW w:type="dxa" w:w="1440"/>
          </w:tcPr>
          <w:p>
            <w:r>
              <w:rPr>
                <w:rFonts w:ascii="Calibri" w:hAnsi="Calibri"/>
                <w:sz w:val="22"/>
              </w:rPr>
              <w:t>Q3 FY2026</w:t>
            </w:r>
          </w:p>
        </w:tc>
        <w:tc>
          <w:tcPr>
            <w:tcW w:type="dxa" w:w="1440"/>
          </w:tcPr>
          <w:p>
            <w:r>
              <w:rPr>
                <w:rFonts w:ascii="Calibri" w:hAnsi="Calibri"/>
                <w:sz w:val="22"/>
              </w:rPr>
              <w:t>EPS ($)</w:t>
            </w:r>
          </w:p>
        </w:tc>
        <w:tc>
          <w:tcPr>
            <w:tcW w:type="dxa" w:w="1440"/>
          </w:tcPr>
          <w:p>
            <w:r>
              <w:rPr>
                <w:rFonts w:ascii="Calibri" w:hAnsi="Calibri"/>
                <w:sz w:val="22"/>
              </w:rPr>
              <w:t>$3.33</w:t>
            </w:r>
          </w:p>
        </w:tc>
        <w:tc>
          <w:tcPr>
            <w:tcW w:type="dxa" w:w="1440"/>
          </w:tcPr>
          <w:p>
            <w:r>
              <w:rPr>
                <w:rFonts w:ascii="Calibri" w:hAnsi="Calibri"/>
                <w:sz w:val="22"/>
              </w:rPr>
              <w:t>$2.78</w:t>
            </w:r>
          </w:p>
        </w:tc>
        <w:tc>
          <w:tcPr>
            <w:tcW w:type="dxa" w:w="1440"/>
          </w:tcPr>
          <w:p>
            <w:r>
              <w:rPr>
                <w:rFonts w:ascii="Calibri" w:hAnsi="Calibri"/>
                <w:b/>
                <w:color w:val="30A46C"/>
                <w:sz w:val="22"/>
              </w:rPr>
              <w:t>+19.8%</w:t>
            </w:r>
          </w:p>
        </w:tc>
        <w:tc>
          <w:tcPr>
            <w:tcW w:type="dxa" w:w="1440"/>
          </w:tcPr>
          <w:p>
            <w:r>
              <w:rPr>
                <w:rFonts w:ascii="Calibri" w:hAnsi="Calibri"/>
                <w:sz w:val="22"/>
              </w:rPr>
              <w:t>Beat</w:t>
            </w:r>
          </w:p>
        </w:tc>
      </w:tr>
      <w:tr>
        <w:tc>
          <w:tcPr>
            <w:tcW w:type="dxa" w:w="1440"/>
          </w:tcPr>
          <w:p>
            <w:r>
              <w:rPr>
                <w:rFonts w:ascii="Calibri" w:hAnsi="Calibri"/>
                <w:sz w:val="22"/>
              </w:rPr>
              <w:t>Q2 FY2026</w:t>
            </w:r>
          </w:p>
        </w:tc>
        <w:tc>
          <w:tcPr>
            <w:tcW w:type="dxa" w:w="1440"/>
          </w:tcPr>
          <w:p>
            <w:r>
              <w:rPr>
                <w:rFonts w:ascii="Calibri" w:hAnsi="Calibri"/>
                <w:sz w:val="22"/>
              </w:rPr>
              <w:t>Revenue ($M)</w:t>
            </w:r>
          </w:p>
        </w:tc>
        <w:tc>
          <w:tcPr>
            <w:tcW w:type="dxa" w:w="1440"/>
          </w:tcPr>
          <w:p>
            <w:r>
              <w:rPr>
                <w:rFonts w:ascii="Calibri" w:hAnsi="Calibri"/>
                <w:sz w:val="22"/>
              </w:rPr>
              <w:t>$1,430.8M</w:t>
            </w:r>
          </w:p>
        </w:tc>
        <w:tc>
          <w:tcPr>
            <w:tcW w:type="dxa" w:w="1440"/>
          </w:tcPr>
          <w:p>
            <w:r>
              <w:rPr>
                <w:rFonts w:ascii="Calibri" w:hAnsi="Calibri"/>
                <w:sz w:val="22"/>
              </w:rPr>
              <w:t>$1,419.7M</w:t>
            </w:r>
          </w:p>
        </w:tc>
        <w:tc>
          <w:tcPr>
            <w:tcW w:type="dxa" w:w="1440"/>
          </w:tcPr>
          <w:p>
            <w:r>
              <w:rPr>
                <w:rFonts w:ascii="Calibri" w:hAnsi="Calibri"/>
                <w:b/>
                <w:color w:val="30A46C"/>
                <w:sz w:val="22"/>
              </w:rPr>
              <w:t>+0.8%</w:t>
            </w:r>
          </w:p>
        </w:tc>
        <w:tc>
          <w:tcPr>
            <w:tcW w:type="dxa" w:w="1440"/>
          </w:tcPr>
          <w:p>
            <w:r>
              <w:rPr>
                <w:rFonts w:ascii="Calibri" w:hAnsi="Calibri"/>
                <w:sz w:val="22"/>
              </w:rPr>
              <w:t>Beat</w:t>
            </w:r>
          </w:p>
        </w:tc>
      </w:tr>
      <w:tr>
        <w:tc>
          <w:tcPr>
            <w:tcW w:type="dxa" w:w="1440"/>
          </w:tcPr>
          <w:p>
            <w:r>
              <w:rPr>
                <w:rFonts w:ascii="Calibri" w:hAnsi="Calibri"/>
                <w:sz w:val="22"/>
              </w:rPr>
              <w:t>Q2 FY2026</w:t>
            </w:r>
          </w:p>
        </w:tc>
        <w:tc>
          <w:tcPr>
            <w:tcW w:type="dxa" w:w="1440"/>
          </w:tcPr>
          <w:p>
            <w:r>
              <w:rPr>
                <w:rFonts w:ascii="Calibri" w:hAnsi="Calibri"/>
                <w:sz w:val="22"/>
              </w:rPr>
              <w:t>EPS ($)</w:t>
            </w:r>
          </w:p>
        </w:tc>
        <w:tc>
          <w:tcPr>
            <w:tcW w:type="dxa" w:w="1440"/>
          </w:tcPr>
          <w:p>
            <w:r>
              <w:rPr>
                <w:rFonts w:ascii="Calibri" w:hAnsi="Calibri"/>
                <w:sz w:val="22"/>
              </w:rPr>
              <w:t>$1.82</w:t>
            </w:r>
          </w:p>
        </w:tc>
        <w:tc>
          <w:tcPr>
            <w:tcW w:type="dxa" w:w="1440"/>
          </w:tcPr>
          <w:p>
            <w:r>
              <w:rPr>
                <w:rFonts w:ascii="Calibri" w:hAnsi="Calibri"/>
                <w:sz w:val="22"/>
              </w:rPr>
              <w:t>$1.59</w:t>
            </w:r>
          </w:p>
        </w:tc>
        <w:tc>
          <w:tcPr>
            <w:tcW w:type="dxa" w:w="1440"/>
          </w:tcPr>
          <w:p>
            <w:r>
              <w:rPr>
                <w:rFonts w:ascii="Calibri" w:hAnsi="Calibri"/>
                <w:b/>
                <w:color w:val="30A46C"/>
                <w:sz w:val="22"/>
              </w:rPr>
              <w:t>+14.5%</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Revenue ($M)</w:t>
            </w:r>
          </w:p>
        </w:tc>
        <w:tc>
          <w:tcPr>
            <w:tcW w:type="dxa" w:w="1440"/>
          </w:tcPr>
          <w:p>
            <w:r>
              <w:rPr>
                <w:rFonts w:ascii="Calibri" w:hAnsi="Calibri"/>
                <w:sz w:val="22"/>
              </w:rPr>
              <w:t>$964.5M</w:t>
            </w:r>
          </w:p>
        </w:tc>
        <w:tc>
          <w:tcPr>
            <w:tcW w:type="dxa" w:w="1440"/>
          </w:tcPr>
          <w:p>
            <w:r>
              <w:rPr>
                <w:rFonts w:ascii="Calibri" w:hAnsi="Calibri"/>
                <w:sz w:val="22"/>
              </w:rPr>
              <w:t>$899.6M</w:t>
            </w:r>
          </w:p>
        </w:tc>
        <w:tc>
          <w:tcPr>
            <w:tcW w:type="dxa" w:w="1440"/>
          </w:tcPr>
          <w:p>
            <w:r>
              <w:rPr>
                <w:rFonts w:ascii="Calibri" w:hAnsi="Calibri"/>
                <w:b/>
                <w:color w:val="30A46C"/>
                <w:sz w:val="22"/>
              </w:rPr>
              <w:t>+7.2%</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EPS ($)</w:t>
            </w:r>
          </w:p>
        </w:tc>
        <w:tc>
          <w:tcPr>
            <w:tcW w:type="dxa" w:w="1440"/>
          </w:tcPr>
          <w:p>
            <w:r>
              <w:rPr>
                <w:rFonts w:ascii="Calibri" w:hAnsi="Calibri"/>
                <w:sz w:val="22"/>
              </w:rPr>
              <w:t>$0.93</w:t>
            </w:r>
          </w:p>
        </w:tc>
        <w:tc>
          <w:tcPr>
            <w:tcW w:type="dxa" w:w="1440"/>
          </w:tcPr>
          <w:p>
            <w:r>
              <w:rPr>
                <w:rFonts w:ascii="Calibri" w:hAnsi="Calibri"/>
                <w:sz w:val="22"/>
              </w:rPr>
              <w:t>$0.685</w:t>
            </w:r>
          </w:p>
        </w:tc>
        <w:tc>
          <w:tcPr>
            <w:tcW w:type="dxa" w:w="1440"/>
          </w:tcPr>
          <w:p>
            <w:r>
              <w:rPr>
                <w:rFonts w:ascii="Calibri" w:hAnsi="Calibri"/>
                <w:b/>
                <w:color w:val="30A46C"/>
                <w:sz w:val="22"/>
              </w:rPr>
              <w:t>+35.8%</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Revenue ($M)</w:t>
            </w:r>
          </w:p>
        </w:tc>
        <w:tc>
          <w:tcPr>
            <w:tcW w:type="dxa" w:w="1440"/>
          </w:tcPr>
          <w:p>
            <w:r>
              <w:rPr>
                <w:rFonts w:ascii="Calibri" w:hAnsi="Calibri"/>
                <w:sz w:val="22"/>
              </w:rPr>
              <w:t>$1,021.8M</w:t>
            </w:r>
          </w:p>
        </w:tc>
        <w:tc>
          <w:tcPr>
            <w:tcW w:type="dxa" w:w="1440"/>
          </w:tcPr>
          <w:p>
            <w:r>
              <w:rPr>
                <w:rFonts w:ascii="Calibri" w:hAnsi="Calibri"/>
                <w:sz w:val="22"/>
              </w:rPr>
              <w:t>$997.8M</w:t>
            </w:r>
          </w:p>
        </w:tc>
        <w:tc>
          <w:tcPr>
            <w:tcW w:type="dxa" w:w="1440"/>
          </w:tcPr>
          <w:p>
            <w:r>
              <w:rPr>
                <w:rFonts w:ascii="Calibri" w:hAnsi="Calibri"/>
                <w:b/>
                <w:color w:val="30A46C"/>
                <w:sz w:val="22"/>
              </w:rPr>
              <w:t>+2.4%</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EPS ($)</w:t>
            </w:r>
          </w:p>
        </w:tc>
        <w:tc>
          <w:tcPr>
            <w:tcW w:type="dxa" w:w="1440"/>
          </w:tcPr>
          <w:p>
            <w:r>
              <w:rPr>
                <w:rFonts w:ascii="Calibri" w:hAnsi="Calibri"/>
                <w:sz w:val="22"/>
              </w:rPr>
              <w:t>$1.00</w:t>
            </w:r>
          </w:p>
        </w:tc>
        <w:tc>
          <w:tcPr>
            <w:tcW w:type="dxa" w:w="1440"/>
          </w:tcPr>
          <w:p>
            <w:r>
              <w:rPr>
                <w:rFonts w:ascii="Calibri" w:hAnsi="Calibri"/>
                <w:sz w:val="22"/>
              </w:rPr>
              <w:t>$0.596</w:t>
            </w:r>
          </w:p>
        </w:tc>
        <w:tc>
          <w:tcPr>
            <w:tcW w:type="dxa" w:w="1440"/>
          </w:tcPr>
          <w:p>
            <w:r>
              <w:rPr>
                <w:rFonts w:ascii="Calibri" w:hAnsi="Calibri"/>
                <w:b/>
                <w:color w:val="30A46C"/>
                <w:sz w:val="22"/>
              </w:rPr>
              <w:t>+67.8%</w:t>
            </w:r>
          </w:p>
        </w:tc>
        <w:tc>
          <w:tcPr>
            <w:tcW w:type="dxa" w:w="1440"/>
          </w:tcPr>
          <w:p>
            <w:r>
              <w:rPr>
                <w:rFonts w:ascii="Calibri" w:hAnsi="Calibri"/>
                <w:sz w:val="22"/>
              </w:rPr>
              <w:t>Beat</w:t>
            </w:r>
          </w:p>
        </w:tc>
      </w:tr>
      <w:tr>
        <w:tc>
          <w:tcPr>
            <w:tcW w:type="dxa" w:w="1440"/>
          </w:tcPr>
          <w:p>
            <w:r>
              <w:rPr>
                <w:rFonts w:ascii="Calibri" w:hAnsi="Calibri"/>
                <w:sz w:val="22"/>
              </w:rPr>
              <w:t>Q3 FY2025</w:t>
            </w:r>
          </w:p>
        </w:tc>
        <w:tc>
          <w:tcPr>
            <w:tcW w:type="dxa" w:w="1440"/>
          </w:tcPr>
          <w:p>
            <w:r>
              <w:rPr>
                <w:rFonts w:ascii="Calibri" w:hAnsi="Calibri"/>
                <w:sz w:val="22"/>
              </w:rPr>
              <w:t>Revenue ($M)</w:t>
            </w:r>
          </w:p>
        </w:tc>
        <w:tc>
          <w:tcPr>
            <w:tcW w:type="dxa" w:w="1440"/>
          </w:tcPr>
          <w:p>
            <w:r>
              <w:rPr>
                <w:rFonts w:ascii="Calibri" w:hAnsi="Calibri"/>
                <w:sz w:val="22"/>
              </w:rPr>
              <w:t>$1,827.2M</w:t>
            </w:r>
          </w:p>
        </w:tc>
        <w:tc>
          <w:tcPr>
            <w:tcW w:type="dxa" w:w="1440"/>
          </w:tcPr>
          <w:p>
            <w:r>
              <w:rPr>
                <w:rFonts w:ascii="Calibri" w:hAnsi="Calibri"/>
                <w:sz w:val="22"/>
              </w:rPr>
              <w:t>$1,731.9M</w:t>
            </w:r>
          </w:p>
        </w:tc>
        <w:tc>
          <w:tcPr>
            <w:tcW w:type="dxa" w:w="1440"/>
          </w:tcPr>
          <w:p>
            <w:r>
              <w:rPr>
                <w:rFonts w:ascii="Calibri" w:hAnsi="Calibri"/>
                <w:b/>
                <w:color w:val="30A46C"/>
                <w:sz w:val="22"/>
              </w:rPr>
              <w:t>+5.5%</w:t>
            </w:r>
          </w:p>
        </w:tc>
        <w:tc>
          <w:tcPr>
            <w:tcW w:type="dxa" w:w="1440"/>
          </w:tcPr>
          <w:p>
            <w:r>
              <w:rPr>
                <w:rFonts w:ascii="Calibri" w:hAnsi="Calibri"/>
                <w:sz w:val="22"/>
              </w:rPr>
              <w:t>Beat</w:t>
            </w:r>
          </w:p>
        </w:tc>
      </w:tr>
      <w:tr>
        <w:tc>
          <w:tcPr>
            <w:tcW w:type="dxa" w:w="1440"/>
          </w:tcPr>
          <w:p>
            <w:r>
              <w:rPr>
                <w:rFonts w:ascii="Calibri" w:hAnsi="Calibri"/>
                <w:sz w:val="22"/>
              </w:rPr>
              <w:t>Q3 FY2025</w:t>
            </w:r>
          </w:p>
        </w:tc>
        <w:tc>
          <w:tcPr>
            <w:tcW w:type="dxa" w:w="1440"/>
          </w:tcPr>
          <w:p>
            <w:r>
              <w:rPr>
                <w:rFonts w:ascii="Calibri" w:hAnsi="Calibri"/>
                <w:sz w:val="22"/>
              </w:rPr>
              <w:t>EPS ($)</w:t>
            </w:r>
          </w:p>
        </w:tc>
        <w:tc>
          <w:tcPr>
            <w:tcW w:type="dxa" w:w="1440"/>
          </w:tcPr>
          <w:p>
            <w:r>
              <w:rPr>
                <w:rFonts w:ascii="Calibri" w:hAnsi="Calibri"/>
                <w:sz w:val="22"/>
              </w:rPr>
              <w:t>$3.00</w:t>
            </w:r>
          </w:p>
        </w:tc>
        <w:tc>
          <w:tcPr>
            <w:tcW w:type="dxa" w:w="1440"/>
          </w:tcPr>
          <w:p>
            <w:r>
              <w:rPr>
                <w:rFonts w:ascii="Calibri" w:hAnsi="Calibri"/>
                <w:sz w:val="22"/>
              </w:rPr>
              <w:t>$2.60</w:t>
            </w:r>
          </w:p>
        </w:tc>
        <w:tc>
          <w:tcPr>
            <w:tcW w:type="dxa" w:w="1440"/>
          </w:tcPr>
          <w:p>
            <w:r>
              <w:rPr>
                <w:rFonts w:ascii="Calibri" w:hAnsi="Calibri"/>
                <w:b/>
                <w:color w:val="30A46C"/>
                <w:sz w:val="22"/>
              </w:rPr>
              <w:t>+15.4%</w:t>
            </w:r>
          </w:p>
        </w:tc>
        <w:tc>
          <w:tcPr>
            <w:tcW w:type="dxa" w:w="1440"/>
          </w:tcPr>
          <w:p>
            <w:r>
              <w:rPr>
                <w:rFonts w:ascii="Calibri" w:hAnsi="Calibri"/>
                <w:sz w:val="22"/>
              </w:rPr>
              <w:t>Beat</w:t>
            </w:r>
          </w:p>
        </w:tc>
      </w:tr>
      <w:tr>
        <w:tc>
          <w:tcPr>
            <w:tcW w:type="dxa" w:w="1440"/>
          </w:tcPr>
          <w:p>
            <w:r>
              <w:rPr>
                <w:rFonts w:ascii="Calibri" w:hAnsi="Calibri"/>
                <w:sz w:val="22"/>
              </w:rPr>
              <w:t>Q2 FY2025</w:t>
            </w:r>
          </w:p>
        </w:tc>
        <w:tc>
          <w:tcPr>
            <w:tcW w:type="dxa" w:w="1440"/>
          </w:tcPr>
          <w:p>
            <w:r>
              <w:rPr>
                <w:rFonts w:ascii="Calibri" w:hAnsi="Calibri"/>
                <w:sz w:val="22"/>
              </w:rPr>
              <w:t>Revenue ($M)</w:t>
            </w:r>
          </w:p>
        </w:tc>
        <w:tc>
          <w:tcPr>
            <w:tcW w:type="dxa" w:w="1440"/>
          </w:tcPr>
          <w:p>
            <w:r>
              <w:rPr>
                <w:rFonts w:ascii="Calibri" w:hAnsi="Calibri"/>
                <w:sz w:val="22"/>
              </w:rPr>
              <w:t>$1,311.3M</w:t>
            </w:r>
          </w:p>
        </w:tc>
        <w:tc>
          <w:tcPr>
            <w:tcW w:type="dxa" w:w="1440"/>
          </w:tcPr>
          <w:p>
            <w:r>
              <w:rPr>
                <w:rFonts w:ascii="Calibri" w:hAnsi="Calibri"/>
                <w:sz w:val="22"/>
              </w:rPr>
              <w:t>$1,201.7M</w:t>
            </w:r>
          </w:p>
        </w:tc>
        <w:tc>
          <w:tcPr>
            <w:tcW w:type="dxa" w:w="1440"/>
          </w:tcPr>
          <w:p>
            <w:r>
              <w:rPr>
                <w:rFonts w:ascii="Calibri" w:hAnsi="Calibri"/>
                <w:b/>
                <w:color w:val="30A46C"/>
                <w:sz w:val="22"/>
              </w:rPr>
              <w:t>+9.1%</w:t>
            </w:r>
          </w:p>
        </w:tc>
        <w:tc>
          <w:tcPr>
            <w:tcW w:type="dxa" w:w="1440"/>
          </w:tcPr>
          <w:p>
            <w:r>
              <w:rPr>
                <w:rFonts w:ascii="Calibri" w:hAnsi="Calibri"/>
                <w:sz w:val="22"/>
              </w:rPr>
              <w:t>Beat</w:t>
            </w:r>
          </w:p>
        </w:tc>
      </w:tr>
      <w:tr>
        <w:tc>
          <w:tcPr>
            <w:tcW w:type="dxa" w:w="1440"/>
          </w:tcPr>
          <w:p>
            <w:r>
              <w:rPr>
                <w:rFonts w:ascii="Calibri" w:hAnsi="Calibri"/>
                <w:sz w:val="22"/>
              </w:rPr>
              <w:t>Q2 FY2025</w:t>
            </w:r>
          </w:p>
        </w:tc>
        <w:tc>
          <w:tcPr>
            <w:tcW w:type="dxa" w:w="1440"/>
          </w:tcPr>
          <w:p>
            <w:r>
              <w:rPr>
                <w:rFonts w:ascii="Calibri" w:hAnsi="Calibri"/>
                <w:sz w:val="22"/>
              </w:rPr>
              <w:t>EPS ($)</w:t>
            </w:r>
          </w:p>
        </w:tc>
        <w:tc>
          <w:tcPr>
            <w:tcW w:type="dxa" w:w="1440"/>
          </w:tcPr>
          <w:p>
            <w:r>
              <w:rPr>
                <w:rFonts w:ascii="Calibri" w:hAnsi="Calibri"/>
                <w:sz w:val="22"/>
              </w:rPr>
              <w:t>$1.59</w:t>
            </w:r>
          </w:p>
        </w:tc>
        <w:tc>
          <w:tcPr>
            <w:tcW w:type="dxa" w:w="1440"/>
          </w:tcPr>
          <w:p>
            <w:r>
              <w:rPr>
                <w:rFonts w:ascii="Calibri" w:hAnsi="Calibri"/>
                <w:sz w:val="22"/>
              </w:rPr>
              <w:t>$1.23</w:t>
            </w:r>
          </w:p>
        </w:tc>
        <w:tc>
          <w:tcPr>
            <w:tcW w:type="dxa" w:w="1440"/>
          </w:tcPr>
          <w:p>
            <w:r>
              <w:rPr>
                <w:rFonts w:ascii="Calibri" w:hAnsi="Calibri"/>
                <w:b/>
                <w:color w:val="30A46C"/>
                <w:sz w:val="22"/>
              </w:rPr>
              <w:t>+29.3%</w:t>
            </w:r>
          </w:p>
        </w:tc>
        <w:tc>
          <w:tcPr>
            <w:tcW w:type="dxa" w:w="1440"/>
          </w:tcPr>
          <w:p>
            <w:r>
              <w:rPr>
                <w:rFonts w:ascii="Calibri" w:hAnsi="Calibri"/>
                <w:sz w:val="22"/>
              </w:rPr>
              <w:t>Beat</w:t>
            </w:r>
          </w:p>
        </w:tc>
      </w:tr>
      <w:tr>
        <w:tc>
          <w:tcPr>
            <w:tcW w:type="dxa" w:w="1440"/>
          </w:tcPr>
          <w:p>
            <w:r>
              <w:rPr>
                <w:rFonts w:ascii="Calibri" w:hAnsi="Calibri"/>
                <w:sz w:val="22"/>
              </w:rPr>
              <w:t>Q1 FY2025</w:t>
            </w:r>
          </w:p>
        </w:tc>
        <w:tc>
          <w:tcPr>
            <w:tcW w:type="dxa" w:w="1440"/>
          </w:tcPr>
          <w:p>
            <w:r>
              <w:rPr>
                <w:rFonts w:ascii="Calibri" w:hAnsi="Calibri"/>
                <w:sz w:val="22"/>
              </w:rPr>
              <w:t>Revenue ($M)</w:t>
            </w:r>
          </w:p>
        </w:tc>
        <w:tc>
          <w:tcPr>
            <w:tcW w:type="dxa" w:w="1440"/>
          </w:tcPr>
          <w:p>
            <w:r>
              <w:rPr>
                <w:rFonts w:ascii="Calibri" w:hAnsi="Calibri"/>
                <w:sz w:val="22"/>
              </w:rPr>
              <w:t>$825.3M</w:t>
            </w:r>
          </w:p>
        </w:tc>
        <w:tc>
          <w:tcPr>
            <w:tcW w:type="dxa" w:w="1440"/>
          </w:tcPr>
          <w:p>
            <w:r>
              <w:rPr>
                <w:rFonts w:ascii="Calibri" w:hAnsi="Calibri"/>
                <w:sz w:val="22"/>
              </w:rPr>
              <w:t>$808.0M</w:t>
            </w:r>
          </w:p>
        </w:tc>
        <w:tc>
          <w:tcPr>
            <w:tcW w:type="dxa" w:w="1440"/>
          </w:tcPr>
          <w:p>
            <w:r>
              <w:rPr>
                <w:rFonts w:ascii="Calibri" w:hAnsi="Calibri"/>
                <w:b/>
                <w:color w:val="30A46C"/>
                <w:sz w:val="22"/>
              </w:rPr>
              <w:t>+2.1%</w:t>
            </w:r>
          </w:p>
        </w:tc>
        <w:tc>
          <w:tcPr>
            <w:tcW w:type="dxa" w:w="1440"/>
          </w:tcPr>
          <w:p>
            <w:r>
              <w:rPr>
                <w:rFonts w:ascii="Calibri" w:hAnsi="Calibri"/>
                <w:sz w:val="22"/>
              </w:rPr>
              <w:t>Beat</w:t>
            </w:r>
          </w:p>
        </w:tc>
      </w:tr>
      <w:tr>
        <w:tc>
          <w:tcPr>
            <w:tcW w:type="dxa" w:w="1440"/>
          </w:tcPr>
          <w:p>
            <w:r>
              <w:rPr>
                <w:rFonts w:ascii="Calibri" w:hAnsi="Calibri"/>
                <w:sz w:val="22"/>
              </w:rPr>
              <w:t>Q1 FY2025</w:t>
            </w:r>
          </w:p>
        </w:tc>
        <w:tc>
          <w:tcPr>
            <w:tcW w:type="dxa" w:w="1440"/>
          </w:tcPr>
          <w:p>
            <w:r>
              <w:rPr>
                <w:rFonts w:ascii="Calibri" w:hAnsi="Calibri"/>
                <w:sz w:val="22"/>
              </w:rPr>
              <w:t>EPS ($)</w:t>
            </w:r>
          </w:p>
        </w:tc>
        <w:tc>
          <w:tcPr>
            <w:tcW w:type="dxa" w:w="1440"/>
          </w:tcPr>
          <w:p>
            <w:r>
              <w:rPr>
                <w:rFonts w:ascii="Calibri" w:hAnsi="Calibri"/>
                <w:sz w:val="22"/>
              </w:rPr>
              <w:t>$0.75</w:t>
            </w:r>
          </w:p>
        </w:tc>
        <w:tc>
          <w:tcPr>
            <w:tcW w:type="dxa" w:w="1440"/>
          </w:tcPr>
          <w:p>
            <w:r>
              <w:rPr>
                <w:rFonts w:ascii="Calibri" w:hAnsi="Calibri"/>
                <w:sz w:val="22"/>
              </w:rPr>
              <w:t>$0.584</w:t>
            </w:r>
          </w:p>
        </w:tc>
        <w:tc>
          <w:tcPr>
            <w:tcW w:type="dxa" w:w="1440"/>
          </w:tcPr>
          <w:p>
            <w:r>
              <w:rPr>
                <w:rFonts w:ascii="Calibri" w:hAnsi="Calibri"/>
                <w:b/>
                <w:color w:val="30A46C"/>
                <w:sz w:val="22"/>
              </w:rPr>
              <w:t>+28.4%</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DECK has beaten consensus on both revenue and EPS in each of the last 8 quarters, with EPS beats averaging ~28% above consensus — a track record that reflects both consistent execution and a management team that guides conservatively. The Q1 FY2027 setup is no exception, with consensus sitting just above the guidance midpoint rather than materially above it.</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not changed since the May 21 earnings call — no post-earnings 8-K, conference update, or pre-announcement has been issued. Management's tone was </w:t>
      </w:r>
      <w:r>
        <w:rPr>
          <w:rFonts w:ascii="Calibri" w:hAnsi="Calibri"/>
          <w:b/>
          <w:color w:val="525866"/>
          <w:sz w:val="22"/>
        </w:rPr>
        <w:t>notably more confident</w:t>
      </w:r>
      <w:r>
        <w:rPr>
          <w:rFonts w:ascii="Calibri" w:hAnsi="Calibri"/>
          <w:color w:val="525866"/>
          <w:sz w:val="22"/>
        </w:rPr>
        <w:t xml:space="preserve"> than prior quarters, introducing a formal multi-year framework and explicitly stating it is "not a conservative guide."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FY2026 Earnings Call, May 21,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Q1 FY2027 Revenue</w:t>
            </w:r>
          </w:p>
        </w:tc>
        <w:tc>
          <w:tcPr>
            <w:tcW w:type="dxa" w:w="1728"/>
          </w:tcPr>
          <w:p>
            <w:r>
              <w:rPr>
                <w:rFonts w:ascii="Calibri" w:hAnsi="Calibri"/>
                <w:sz w:val="22"/>
              </w:rPr>
              <w:t>Up ~5% YoY; first-ever $1B June quarter</w:t>
            </w:r>
          </w:p>
        </w:tc>
        <w:tc>
          <w:tcPr>
            <w:tcW w:type="dxa" w:w="1728"/>
          </w:tcPr>
          <w:p>
            <w:r>
              <w:rPr>
                <w:rFonts w:ascii="Calibri" w:hAnsi="Calibri"/>
                <w:sz w:val="22"/>
              </w:rPr>
              <w:t>—</w:t>
            </w:r>
          </w:p>
        </w:tc>
        <w:tc>
          <w:tcPr>
            <w:tcW w:type="dxa" w:w="1728"/>
          </w:tcPr>
          <w:p>
            <w:r>
              <w:rPr>
                <w:rFonts w:ascii="Calibri" w:hAnsi="Calibri"/>
                <w:sz w:val="22"/>
              </w:rPr>
              <w:t>$1,018.1M (+5.6% YoY)</w:t>
            </w:r>
          </w:p>
        </w:tc>
        <w:tc>
          <w:tcPr>
            <w:tcW w:type="dxa" w:w="1728"/>
          </w:tcPr>
          <w:p>
            <w:r>
              <w:rPr>
                <w:rFonts w:ascii="Calibri" w:hAnsi="Calibri"/>
                <w:sz w:val="22"/>
              </w:rPr>
              <w:t>No post-earnings update; consensus in line with guidance</w:t>
            </w:r>
          </w:p>
        </w:tc>
      </w:tr>
      <w:tr>
        <w:tc>
          <w:tcPr>
            <w:tcW w:type="dxa" w:w="1728"/>
          </w:tcPr>
          <w:p>
            <w:r>
              <w:rPr>
                <w:rFonts w:ascii="Calibri" w:hAnsi="Calibri"/>
                <w:sz w:val="22"/>
              </w:rPr>
              <w:t>Q1 FY2027 HOKA Growth</w:t>
            </w:r>
          </w:p>
        </w:tc>
        <w:tc>
          <w:tcPr>
            <w:tcW w:type="dxa" w:w="1728"/>
          </w:tcPr>
          <w:p>
            <w:r>
              <w:rPr>
                <w:rFonts w:ascii="Calibri" w:hAnsi="Calibri"/>
                <w:sz w:val="22"/>
              </w:rPr>
              <w:t>High single-digit growth, primarily DTC-driven</w:t>
            </w:r>
          </w:p>
        </w:tc>
        <w:tc>
          <w:tcPr>
            <w:tcW w:type="dxa" w:w="1728"/>
          </w:tcPr>
          <w:p>
            <w:r>
              <w:rPr>
                <w:rFonts w:ascii="Calibri" w:hAnsi="Calibri"/>
                <w:sz w:val="22"/>
              </w:rPr>
              <w:t>—</w:t>
            </w:r>
          </w:p>
        </w:tc>
        <w:tc>
          <w:tcPr>
            <w:tcW w:type="dxa" w:w="1728"/>
          </w:tcPr>
          <w:p>
            <w:r>
              <w:rPr>
                <w:rFonts w:ascii="Calibri" w:hAnsi="Calibri"/>
                <w:sz w:val="22"/>
              </w:rPr>
              <w:t>$704.8M (+7.9% YoY)</w:t>
            </w:r>
          </w:p>
        </w:tc>
        <w:tc>
          <w:tcPr>
            <w:tcW w:type="dxa" w:w="1728"/>
          </w:tcPr>
          <w:p>
            <w:r>
              <w:rPr>
                <w:rFonts w:ascii="Calibri" w:hAnsi="Calibri"/>
                <w:sz w:val="22"/>
              </w:rPr>
              <w:t>Wholesale timing headwinds flagged (EMEA warehouse lap, APAC Clifton prep)</w:t>
            </w:r>
          </w:p>
        </w:tc>
      </w:tr>
      <w:tr>
        <w:tc>
          <w:tcPr>
            <w:tcW w:type="dxa" w:w="1728"/>
          </w:tcPr>
          <w:p>
            <w:r>
              <w:rPr>
                <w:rFonts w:ascii="Calibri" w:hAnsi="Calibri"/>
                <w:sz w:val="22"/>
              </w:rPr>
              <w:t>Q1 FY2027 UGG Growth</w:t>
            </w:r>
          </w:p>
        </w:tc>
        <w:tc>
          <w:tcPr>
            <w:tcW w:type="dxa" w:w="1728"/>
          </w:tcPr>
          <w:p>
            <w:r>
              <w:rPr>
                <w:rFonts w:ascii="Calibri" w:hAnsi="Calibri"/>
                <w:sz w:val="22"/>
              </w:rPr>
              <w:t>Mid-single-digit growth, aligned with full-year guide</w:t>
            </w:r>
          </w:p>
        </w:tc>
        <w:tc>
          <w:tcPr>
            <w:tcW w:type="dxa" w:w="1728"/>
          </w:tcPr>
          <w:p>
            <w:r>
              <w:rPr>
                <w:rFonts w:ascii="Calibri" w:hAnsi="Calibri"/>
                <w:sz w:val="22"/>
              </w:rPr>
              <w:t>—</w:t>
            </w:r>
          </w:p>
        </w:tc>
        <w:tc>
          <w:tcPr>
            <w:tcW w:type="dxa" w:w="1728"/>
          </w:tcPr>
          <w:p>
            <w:r>
              <w:rPr>
                <w:rFonts w:ascii="Calibri" w:hAnsi="Calibri"/>
                <w:sz w:val="22"/>
              </w:rPr>
              <w:t>$277.0M (+4.5% YoY)</w:t>
            </w:r>
          </w:p>
        </w:tc>
        <w:tc>
          <w:tcPr>
            <w:tcW w:type="dxa" w:w="1728"/>
          </w:tcPr>
          <w:p>
            <w:r>
              <w:rPr>
                <w:rFonts w:ascii="Calibri" w:hAnsi="Calibri"/>
                <w:sz w:val="22"/>
              </w:rPr>
              <w:t>No post-earnings update; consensus in line with guidance</w:t>
            </w:r>
          </w:p>
        </w:tc>
      </w:tr>
      <w:tr>
        <w:tc>
          <w:tcPr>
            <w:tcW w:type="dxa" w:w="1728"/>
          </w:tcPr>
          <w:p>
            <w:r>
              <w:rPr>
                <w:rFonts w:ascii="Calibri" w:hAnsi="Calibri"/>
                <w:sz w:val="22"/>
              </w:rPr>
              <w:t>Q1 FY2027 Gross Margin</w:t>
            </w:r>
          </w:p>
        </w:tc>
        <w:tc>
          <w:tcPr>
            <w:tcW w:type="dxa" w:w="1728"/>
          </w:tcPr>
          <w:p>
            <w:r>
              <w:rPr>
                <w:rFonts w:ascii="Calibri" w:hAnsi="Calibri"/>
                <w:sz w:val="22"/>
              </w:rPr>
              <w:t>Down YoY; tariff wraparound on H1 inventory; slight positive offsets from channel mix and FX</w:t>
            </w:r>
          </w:p>
        </w:tc>
        <w:tc>
          <w:tcPr>
            <w:tcW w:type="dxa" w:w="1728"/>
          </w:tcPr>
          <w:p>
            <w:r>
              <w:rPr>
                <w:rFonts w:ascii="Calibri" w:hAnsi="Calibri"/>
                <w:sz w:val="22"/>
              </w:rPr>
              <w:t>—</w:t>
            </w:r>
          </w:p>
        </w:tc>
        <w:tc>
          <w:tcPr>
            <w:tcW w:type="dxa" w:w="1728"/>
          </w:tcPr>
          <w:p>
            <w:r>
              <w:rPr>
                <w:rFonts w:ascii="Calibri" w:hAnsi="Calibri"/>
                <w:sz w:val="22"/>
              </w:rPr>
              <w:t>~54.5% implied (Gross Profit $554.3M / Revenue $1,018.1M)</w:t>
            </w:r>
          </w:p>
        </w:tc>
        <w:tc>
          <w:tcPr>
            <w:tcW w:type="dxa" w:w="1728"/>
          </w:tcPr>
          <w:p>
            <w:r>
              <w:rPr>
                <w:rFonts w:ascii="Calibri" w:hAnsi="Calibri"/>
                <w:sz w:val="22"/>
              </w:rPr>
              <w:t>Primary pressure: higher IEEPA tariff rates on H1 inventory already paid (~$120M gross tariff paid in FY2026)</w:t>
            </w:r>
          </w:p>
        </w:tc>
      </w:tr>
      <w:tr>
        <w:tc>
          <w:tcPr>
            <w:tcW w:type="dxa" w:w="1728"/>
          </w:tcPr>
          <w:p>
            <w:r>
              <w:rPr>
                <w:rFonts w:ascii="Calibri" w:hAnsi="Calibri"/>
                <w:sz w:val="22"/>
              </w:rPr>
              <w:t>Q1 FY2027 SG&amp;A</w:t>
            </w:r>
          </w:p>
        </w:tc>
        <w:tc>
          <w:tcPr>
            <w:tcW w:type="dxa" w:w="1728"/>
          </w:tcPr>
          <w:p>
            <w:r>
              <w:rPr>
                <w:rFonts w:ascii="Calibri" w:hAnsi="Calibri"/>
                <w:sz w:val="22"/>
              </w:rPr>
              <w:t>Growing ~2x the rate of revenue; marketing investments, FX remeasurement lap, new hire annualization</w:t>
            </w:r>
          </w:p>
        </w:tc>
        <w:tc>
          <w:tcPr>
            <w:tcW w:type="dxa" w:w="1728"/>
          </w:tcPr>
          <w:p>
            <w:r>
              <w:rPr>
                <w:rFonts w:ascii="Calibri" w:hAnsi="Calibri"/>
                <w:sz w:val="22"/>
              </w:rPr>
              <w:t>—</w:t>
            </w:r>
          </w:p>
        </w:tc>
        <w:tc>
          <w:tcPr>
            <w:tcW w:type="dxa" w:w="1728"/>
          </w:tcPr>
          <w:p>
            <w:r>
              <w:rPr>
                <w:rFonts w:ascii="Calibri" w:hAnsi="Calibri"/>
                <w:sz w:val="22"/>
              </w:rPr>
              <w:t>~$410M implied (~40% of revenue)</w:t>
            </w:r>
          </w:p>
        </w:tc>
        <w:tc>
          <w:tcPr>
            <w:tcW w:type="dxa" w:w="1728"/>
          </w:tcPr>
          <w:p>
            <w:r>
              <w:rPr>
                <w:rFonts w:ascii="Calibri" w:hAnsi="Calibri"/>
                <w:sz w:val="22"/>
              </w:rPr>
              <w:t>Elevated vs. FY guide of ~35%; Q1 is seasonally high SG&amp;A quarter</w:t>
            </w:r>
          </w:p>
        </w:tc>
      </w:tr>
      <w:tr>
        <w:tc>
          <w:tcPr>
            <w:tcW w:type="dxa" w:w="1728"/>
          </w:tcPr>
          <w:p>
            <w:r>
              <w:rPr>
                <w:rFonts w:ascii="Calibri" w:hAnsi="Calibri"/>
                <w:sz w:val="22"/>
              </w:rPr>
              <w:t>Q1 FY2027 EPS (Diluted Operating)</w:t>
            </w:r>
          </w:p>
        </w:tc>
        <w:tc>
          <w:tcPr>
            <w:tcW w:type="dxa" w:w="1728"/>
          </w:tcPr>
          <w:p>
            <w:r>
              <w:rPr>
                <w:rFonts w:ascii="Calibri" w:hAnsi="Calibri"/>
                <w:sz w:val="22"/>
              </w:rPr>
              <w:t>$0.82–$0.87</w:t>
            </w:r>
          </w:p>
        </w:tc>
        <w:tc>
          <w:tcPr>
            <w:tcW w:type="dxa" w:w="1728"/>
          </w:tcPr>
          <w:p>
            <w:r>
              <w:rPr>
                <w:rFonts w:ascii="Calibri" w:hAnsi="Calibri"/>
                <w:sz w:val="22"/>
              </w:rPr>
              <w:t>—</w:t>
            </w:r>
          </w:p>
        </w:tc>
        <w:tc>
          <w:tcPr>
            <w:tcW w:type="dxa" w:w="1728"/>
          </w:tcPr>
          <w:p>
            <w:r>
              <w:rPr>
                <w:rFonts w:ascii="Calibri" w:hAnsi="Calibri"/>
                <w:sz w:val="22"/>
              </w:rPr>
              <w:t>$0.875</w:t>
            </w:r>
          </w:p>
        </w:tc>
        <w:tc>
          <w:tcPr>
            <w:tcW w:type="dxa" w:w="1728"/>
          </w:tcPr>
          <w:p>
            <w:r>
              <w:rPr>
                <w:rFonts w:ascii="Calibri" w:hAnsi="Calibri"/>
                <w:sz w:val="22"/>
              </w:rPr>
              <w:t>Consensus at top of guidance range; +1.5% above midpoint of $0.845</w:t>
            </w:r>
          </w:p>
        </w:tc>
      </w:tr>
      <w:tr>
        <w:tc>
          <w:tcPr>
            <w:tcW w:type="dxa" w:w="1728"/>
          </w:tcPr>
          <w:p>
            <w:r>
              <w:rPr>
                <w:rFonts w:ascii="Calibri" w:hAnsi="Calibri"/>
                <w:sz w:val="22"/>
              </w:rPr>
              <w:t>FY2027 Revenue</w:t>
            </w:r>
          </w:p>
        </w:tc>
        <w:tc>
          <w:tcPr>
            <w:tcW w:type="dxa" w:w="1728"/>
          </w:tcPr>
          <w:p>
            <w:r>
              <w:rPr>
                <w:rFonts w:ascii="Calibri" w:hAnsi="Calibri"/>
                <w:sz w:val="22"/>
              </w:rPr>
              <w:t>$5.86B–$5.91B (high single-digit growth)</w:t>
            </w:r>
          </w:p>
        </w:tc>
        <w:tc>
          <w:tcPr>
            <w:tcW w:type="dxa" w:w="1728"/>
          </w:tcPr>
          <w:p>
            <w:r>
              <w:rPr>
                <w:rFonts w:ascii="Calibri" w:hAnsi="Calibri"/>
                <w:sz w:val="22"/>
              </w:rPr>
              <w:t>—</w:t>
            </w:r>
          </w:p>
        </w:tc>
        <w:tc>
          <w:tcPr>
            <w:tcW w:type="dxa" w:w="1728"/>
          </w:tcPr>
          <w:p>
            <w:r>
              <w:rPr>
                <w:rFonts w:ascii="Calibri" w:hAnsi="Calibri"/>
                <w:sz w:val="22"/>
              </w:rPr>
              <w:t>$5,902.6M</w:t>
            </w:r>
          </w:p>
        </w:tc>
        <w:tc>
          <w:tcPr>
            <w:tcW w:type="dxa" w:w="1728"/>
          </w:tcPr>
          <w:p>
            <w:r>
              <w:rPr>
                <w:rFonts w:ascii="Calibri" w:hAnsi="Calibri"/>
                <w:sz w:val="22"/>
              </w:rPr>
              <w:t>Consensus at midpoint of guidance range; no revision since print</w:t>
            </w:r>
          </w:p>
        </w:tc>
      </w:tr>
      <w:tr>
        <w:tc>
          <w:tcPr>
            <w:tcW w:type="dxa" w:w="1728"/>
          </w:tcPr>
          <w:p>
            <w:r>
              <w:rPr>
                <w:rFonts w:ascii="Calibri" w:hAnsi="Calibri"/>
                <w:sz w:val="22"/>
              </w:rPr>
              <w:t>FY2027 EPS (Diluted Operating)</w:t>
            </w:r>
          </w:p>
        </w:tc>
        <w:tc>
          <w:tcPr>
            <w:tcW w:type="dxa" w:w="1728"/>
          </w:tcPr>
          <w:p>
            <w:r>
              <w:rPr>
                <w:rFonts w:ascii="Calibri" w:hAnsi="Calibri"/>
                <w:sz w:val="22"/>
              </w:rPr>
              <w:t>$7.30–$7.45</w:t>
            </w:r>
          </w:p>
        </w:tc>
        <w:tc>
          <w:tcPr>
            <w:tcW w:type="dxa" w:w="1728"/>
          </w:tcPr>
          <w:p>
            <w:r>
              <w:rPr>
                <w:rFonts w:ascii="Calibri" w:hAnsi="Calibri"/>
                <w:sz w:val="22"/>
              </w:rPr>
              <w:t>—</w:t>
            </w:r>
          </w:p>
        </w:tc>
        <w:tc>
          <w:tcPr>
            <w:tcW w:type="dxa" w:w="1728"/>
          </w:tcPr>
          <w:p>
            <w:r>
              <w:rPr>
                <w:rFonts w:ascii="Calibri" w:hAnsi="Calibri"/>
                <w:sz w:val="22"/>
              </w:rPr>
              <w:t>$7.468</w:t>
            </w:r>
          </w:p>
        </w:tc>
        <w:tc>
          <w:tcPr>
            <w:tcW w:type="dxa" w:w="1728"/>
          </w:tcPr>
          <w:p>
            <w:r>
              <w:rPr>
                <w:rFonts w:ascii="Calibri" w:hAnsi="Calibri"/>
                <w:sz w:val="22"/>
              </w:rPr>
              <w:t>Consensus slightly above top of guidance range; assumes ~80% FCF buyback</w:t>
            </w:r>
          </w:p>
        </w:tc>
      </w:tr>
      <w:tr>
        <w:tc>
          <w:tcPr>
            <w:tcW w:type="dxa" w:w="1728"/>
          </w:tcPr>
          <w:p>
            <w:r>
              <w:rPr>
                <w:rFonts w:ascii="Calibri" w:hAnsi="Calibri"/>
                <w:sz w:val="22"/>
              </w:rPr>
              <w:t>FY2027 Gross Margin</w:t>
            </w:r>
          </w:p>
        </w:tc>
        <w:tc>
          <w:tcPr>
            <w:tcW w:type="dxa" w:w="1728"/>
          </w:tcPr>
          <w:p>
            <w:r>
              <w:rPr>
                <w:rFonts w:ascii="Calibri" w:hAnsi="Calibri"/>
                <w:sz w:val="22"/>
              </w:rPr>
              <w:t>~56.5%</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Down vs. FY2026; freight inflation, material upgrades, tariff headwinds; assumes 10% tariff rate for full year</w:t>
            </w:r>
          </w:p>
        </w:tc>
      </w:tr>
      <w:tr>
        <w:tc>
          <w:tcPr>
            <w:tcW w:type="dxa" w:w="1728"/>
          </w:tcPr>
          <w:p>
            <w:r>
              <w:rPr>
                <w:rFonts w:ascii="Calibri" w:hAnsi="Calibri"/>
                <w:sz w:val="22"/>
              </w:rPr>
              <w:t>FY2027 Operating Margin</w:t>
            </w:r>
          </w:p>
        </w:tc>
        <w:tc>
          <w:tcPr>
            <w:tcW w:type="dxa" w:w="1728"/>
          </w:tcPr>
          <w:p>
            <w:r>
              <w:rPr>
                <w:rFonts w:ascii="Calibri" w:hAnsi="Calibri"/>
                <w:sz w:val="22"/>
              </w:rPr>
              <w:t>~21.5%</w:t>
            </w:r>
          </w:p>
        </w:tc>
        <w:tc>
          <w:tcPr>
            <w:tcW w:type="dxa" w:w="1728"/>
          </w:tcPr>
          <w:p>
            <w:r>
              <w:rPr>
                <w:rFonts w:ascii="Calibri" w:hAnsi="Calibri"/>
                <w:sz w:val="22"/>
              </w:rPr>
              <w:t>—</w:t>
            </w:r>
          </w:p>
        </w:tc>
        <w:tc>
          <w:tcPr>
            <w:tcW w:type="dxa" w:w="1728"/>
          </w:tcPr>
          <w:p>
            <w:r>
              <w:rPr>
                <w:rFonts w:ascii="Calibri" w:hAnsi="Calibri"/>
                <w:sz w:val="22"/>
              </w:rPr>
              <w:t>~21.7% implied ($1,279.3M / $5,902.6M)</w:t>
            </w:r>
          </w:p>
        </w:tc>
        <w:tc>
          <w:tcPr>
            <w:tcW w:type="dxa" w:w="1728"/>
          </w:tcPr>
          <w:p>
            <w:r>
              <w:rPr>
                <w:rFonts w:ascii="Calibri" w:hAnsi="Calibri"/>
                <w:sz w:val="22"/>
              </w:rPr>
              <w:t>Consensus slightly above guidance; operating leverage expected from FY2028 onward</w:t>
            </w:r>
          </w:p>
        </w:tc>
      </w:tr>
    </w:tbl>
    <w:p>
      <w:r>
        <w:rPr>
          <w:rFonts w:ascii="Calibri" w:hAnsi="Calibri"/>
          <w:i/>
          <w:color w:val="525866"/>
          <w:sz w:val="22"/>
        </w:rPr>
        <w:t>Source: Q4 FY2026 Earnings Call Transcript and Press Release (May 21,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w:t>
      </w:r>
      <w:r>
        <w:rPr>
          <w:rFonts w:ascii="Calibri" w:hAnsi="Calibri"/>
          <w:b/>
          <w:color w:val="525866"/>
          <w:sz w:val="22"/>
        </w:rPr>
        <w:t>unchanged since the Q4 FY2026 print</w:t>
      </w:r>
      <w:r>
        <w:rPr>
          <w:rFonts w:ascii="Calibri" w:hAnsi="Calibri"/>
          <w:color w:val="525866"/>
          <w:sz w:val="22"/>
        </w:rPr>
        <w:t xml:space="preserve"> — the Street has not added cushion above guidance, nor has it revised down. This flat revision trajectory means consensus is tracking guidance closely, leaving the outcome binary: execute on the Q1 guide and the stock likely re-rates; miss on HOKA wholesale timing and the stock gives back ground.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Q4 Earnings (May 27, 2026)</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21, 2026)</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Q1 FY2027</w:t>
            </w:r>
          </w:p>
        </w:tc>
        <w:tc>
          <w:tcPr>
            <w:tcW w:type="dxa" w:w="1080"/>
          </w:tcPr>
          <w:p>
            <w:r>
              <w:rPr>
                <w:rFonts w:ascii="Calibri" w:hAnsi="Calibri"/>
                <w:sz w:val="22"/>
              </w:rPr>
              <w:t>$1,018.8M</w:t>
            </w:r>
          </w:p>
        </w:tc>
        <w:tc>
          <w:tcPr>
            <w:tcW w:type="dxa" w:w="1080"/>
          </w:tcPr>
          <w:p>
            <w:r>
              <w:rPr>
                <w:rFonts w:ascii="Calibri" w:hAnsi="Calibri"/>
                <w:sz w:val="22"/>
              </w:rPr>
              <w:t>$1,018.1M</w:t>
            </w:r>
          </w:p>
        </w:tc>
        <w:tc>
          <w:tcPr>
            <w:tcW w:type="dxa" w:w="1080"/>
          </w:tcPr>
          <w:p>
            <w:r>
              <w:rPr>
                <w:rFonts w:ascii="Calibri" w:hAnsi="Calibri"/>
                <w:sz w:val="22"/>
              </w:rPr>
              <w:t>-0.1%</w:t>
            </w:r>
          </w:p>
        </w:tc>
        <w:tc>
          <w:tcPr>
            <w:tcW w:type="dxa" w:w="1080"/>
          </w:tcPr>
          <w:p>
            <w:r>
              <w:rPr>
                <w:rFonts w:ascii="Calibri" w:hAnsi="Calibri"/>
                <w:sz w:val="22"/>
              </w:rPr>
              <w:t>~$1,000M (up ~5%)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+1.8% above implied midpoint</w:t>
            </w:r>
          </w:p>
        </w:tc>
      </w:tr>
      <w:tr>
        <w:tc>
          <w:tcPr>
            <w:tcW w:type="dxa" w:w="1080"/>
          </w:tcPr>
          <w:p>
            <w:r>
              <w:rPr>
                <w:rFonts w:ascii="Calibri" w:hAnsi="Calibri"/>
                <w:sz w:val="22"/>
              </w:rPr>
              <w:t>EPS — Q1 FY2027</w:t>
            </w:r>
          </w:p>
        </w:tc>
        <w:tc>
          <w:tcPr>
            <w:tcW w:type="dxa" w:w="1080"/>
          </w:tcPr>
          <w:p>
            <w:r>
              <w:rPr>
                <w:rFonts w:ascii="Calibri" w:hAnsi="Calibri"/>
                <w:sz w:val="22"/>
              </w:rPr>
              <w:t>$0.869</w:t>
            </w:r>
          </w:p>
        </w:tc>
        <w:tc>
          <w:tcPr>
            <w:tcW w:type="dxa" w:w="1080"/>
          </w:tcPr>
          <w:p>
            <w:r>
              <w:rPr>
                <w:rFonts w:ascii="Calibri" w:hAnsi="Calibri"/>
                <w:sz w:val="22"/>
              </w:rPr>
              <w:t>$0.875</w:t>
            </w:r>
          </w:p>
        </w:tc>
        <w:tc>
          <w:tcPr>
            <w:tcW w:type="dxa" w:w="1080"/>
          </w:tcPr>
          <w:p>
            <w:r>
              <w:rPr>
                <w:rFonts w:ascii="Calibri" w:hAnsi="Calibri"/>
                <w:sz w:val="22"/>
              </w:rPr>
              <w:t>+0.7%</w:t>
            </w:r>
          </w:p>
        </w:tc>
        <w:tc>
          <w:tcPr>
            <w:tcW w:type="dxa" w:w="1080"/>
          </w:tcPr>
          <w:p>
            <w:r>
              <w:rPr>
                <w:rFonts w:ascii="Calibri" w:hAnsi="Calibri"/>
                <w:sz w:val="22"/>
              </w:rPr>
              <w:t>$0.82–$0.87</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+1.5% above midpoint ($0.845)</w:t>
            </w:r>
          </w:p>
        </w:tc>
      </w:tr>
      <w:tr>
        <w:tc>
          <w:tcPr>
            <w:tcW w:type="dxa" w:w="1080"/>
          </w:tcPr>
          <w:p>
            <w:r>
              <w:rPr>
                <w:rFonts w:ascii="Calibri" w:hAnsi="Calibri"/>
                <w:sz w:val="22"/>
              </w:rPr>
              <w:t>HOKA Revenue — Q1 FY2027</w:t>
            </w:r>
          </w:p>
        </w:tc>
        <w:tc>
          <w:tcPr>
            <w:tcW w:type="dxa" w:w="1080"/>
          </w:tcPr>
          <w:p>
            <w:r>
              <w:rPr>
                <w:rFonts w:ascii="Calibri" w:hAnsi="Calibri"/>
                <w:sz w:val="22"/>
              </w:rPr>
              <w:t>$705.2M</w:t>
            </w:r>
          </w:p>
        </w:tc>
        <w:tc>
          <w:tcPr>
            <w:tcW w:type="dxa" w:w="1080"/>
          </w:tcPr>
          <w:p>
            <w:r>
              <w:rPr>
                <w:rFonts w:ascii="Calibri" w:hAnsi="Calibri"/>
                <w:sz w:val="22"/>
              </w:rPr>
              <w:t>$704.8M</w:t>
            </w:r>
          </w:p>
        </w:tc>
        <w:tc>
          <w:tcPr>
            <w:tcW w:type="dxa" w:w="1080"/>
          </w:tcPr>
          <w:p>
            <w:r>
              <w:rPr>
                <w:rFonts w:ascii="Calibri" w:hAnsi="Calibri"/>
                <w:sz w:val="22"/>
              </w:rPr>
              <w:t>-0.1%</w:t>
            </w:r>
          </w:p>
        </w:tc>
        <w:tc>
          <w:tcPr>
            <w:tcW w:type="dxa" w:w="1080"/>
          </w:tcPr>
          <w:p>
            <w:r>
              <w:rPr>
                <w:rFonts w:ascii="Calibri" w:hAnsi="Calibri"/>
                <w:sz w:val="22"/>
              </w:rPr>
              <w:t>High single-digit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guidance</w:t>
            </w:r>
          </w:p>
        </w:tc>
      </w:tr>
      <w:tr>
        <w:tc>
          <w:tcPr>
            <w:tcW w:type="dxa" w:w="1080"/>
          </w:tcPr>
          <w:p>
            <w:r>
              <w:rPr>
                <w:rFonts w:ascii="Calibri" w:hAnsi="Calibri"/>
                <w:sz w:val="22"/>
              </w:rPr>
              <w:t>UGG Revenue — Q1 FY2027</w:t>
            </w:r>
          </w:p>
        </w:tc>
        <w:tc>
          <w:tcPr>
            <w:tcW w:type="dxa" w:w="1080"/>
          </w:tcPr>
          <w:p>
            <w:r>
              <w:rPr>
                <w:rFonts w:ascii="Calibri" w:hAnsi="Calibri"/>
                <w:sz w:val="22"/>
              </w:rPr>
              <w:t>$276.7M</w:t>
            </w:r>
          </w:p>
        </w:tc>
        <w:tc>
          <w:tcPr>
            <w:tcW w:type="dxa" w:w="1080"/>
          </w:tcPr>
          <w:p>
            <w:r>
              <w:rPr>
                <w:rFonts w:ascii="Calibri" w:hAnsi="Calibri"/>
                <w:sz w:val="22"/>
              </w:rPr>
              <w:t>$277.0M</w:t>
            </w:r>
          </w:p>
        </w:tc>
        <w:tc>
          <w:tcPr>
            <w:tcW w:type="dxa" w:w="1080"/>
          </w:tcPr>
          <w:p>
            <w:r>
              <w:rPr>
                <w:rFonts w:ascii="Calibri" w:hAnsi="Calibri"/>
                <w:sz w:val="22"/>
              </w:rPr>
              <w:t>+0.1%</w:t>
            </w:r>
          </w:p>
        </w:tc>
        <w:tc>
          <w:tcPr>
            <w:tcW w:type="dxa" w:w="1080"/>
          </w:tcPr>
          <w:p>
            <w:r>
              <w:rPr>
                <w:rFonts w:ascii="Calibri" w:hAnsi="Calibri"/>
                <w:sz w:val="22"/>
              </w:rPr>
              <w:t>Mid-single-digit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guidance</w:t>
            </w:r>
          </w:p>
        </w:tc>
      </w:tr>
      <w:tr>
        <w:tc>
          <w:tcPr>
            <w:tcW w:type="dxa" w:w="1080"/>
          </w:tcPr>
          <w:p>
            <w:r>
              <w:rPr>
                <w:rFonts w:ascii="Calibri" w:hAnsi="Calibri"/>
                <w:sz w:val="22"/>
              </w:rPr>
              <w:t>Total Revenue — FY2027</w:t>
            </w:r>
          </w:p>
        </w:tc>
        <w:tc>
          <w:tcPr>
            <w:tcW w:type="dxa" w:w="1080"/>
          </w:tcPr>
          <w:p>
            <w:r>
              <w:rPr>
                <w:rFonts w:ascii="Calibri" w:hAnsi="Calibri"/>
                <w:sz w:val="22"/>
              </w:rPr>
              <w:t>$5,899.5M</w:t>
            </w:r>
          </w:p>
        </w:tc>
        <w:tc>
          <w:tcPr>
            <w:tcW w:type="dxa" w:w="1080"/>
          </w:tcPr>
          <w:p>
            <w:r>
              <w:rPr>
                <w:rFonts w:ascii="Calibri" w:hAnsi="Calibri"/>
                <w:sz w:val="22"/>
              </w:rPr>
              <w:t>$5,902.6M</w:t>
            </w:r>
          </w:p>
        </w:tc>
        <w:tc>
          <w:tcPr>
            <w:tcW w:type="dxa" w:w="1080"/>
          </w:tcPr>
          <w:p>
            <w:r>
              <w:rPr>
                <w:rFonts w:ascii="Calibri" w:hAnsi="Calibri"/>
                <w:sz w:val="22"/>
              </w:rPr>
              <w:t>+0.1%</w:t>
            </w:r>
          </w:p>
        </w:tc>
        <w:tc>
          <w:tcPr>
            <w:tcW w:type="dxa" w:w="1080"/>
          </w:tcPr>
          <w:p>
            <w:r>
              <w:rPr>
                <w:rFonts w:ascii="Calibri" w:hAnsi="Calibri"/>
                <w:sz w:val="22"/>
              </w:rPr>
              <w:t>$5,860M–$5,910M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 of guidance range</w:t>
            </w:r>
          </w:p>
        </w:tc>
      </w:tr>
      <w:tr>
        <w:tc>
          <w:tcPr>
            <w:tcW w:type="dxa" w:w="1080"/>
          </w:tcPr>
          <w:p>
            <w:r>
              <w:rPr>
                <w:rFonts w:ascii="Calibri" w:hAnsi="Calibri"/>
                <w:sz w:val="22"/>
              </w:rPr>
              <w:t>EPS — FY2027</w:t>
            </w:r>
          </w:p>
        </w:tc>
        <w:tc>
          <w:tcPr>
            <w:tcW w:type="dxa" w:w="1080"/>
          </w:tcPr>
          <w:p>
            <w:r>
              <w:rPr>
                <w:rFonts w:ascii="Calibri" w:hAnsi="Calibri"/>
                <w:sz w:val="22"/>
              </w:rPr>
              <w:t>$7.457</w:t>
            </w:r>
          </w:p>
        </w:tc>
        <w:tc>
          <w:tcPr>
            <w:tcW w:type="dxa" w:w="1080"/>
          </w:tcPr>
          <w:p>
            <w:r>
              <w:rPr>
                <w:rFonts w:ascii="Calibri" w:hAnsi="Calibri"/>
                <w:sz w:val="22"/>
              </w:rPr>
              <w:t>$7.468</w:t>
            </w:r>
          </w:p>
        </w:tc>
        <w:tc>
          <w:tcPr>
            <w:tcW w:type="dxa" w:w="1080"/>
          </w:tcPr>
          <w:p>
            <w:r>
              <w:rPr>
                <w:rFonts w:ascii="Calibri" w:hAnsi="Calibri"/>
                <w:sz w:val="22"/>
              </w:rPr>
              <w:t>+0.1%</w:t>
            </w:r>
          </w:p>
        </w:tc>
        <w:tc>
          <w:tcPr>
            <w:tcW w:type="dxa" w:w="1080"/>
          </w:tcPr>
          <w:p>
            <w:r>
              <w:rPr>
                <w:rFonts w:ascii="Calibri" w:hAnsi="Calibri"/>
                <w:sz w:val="22"/>
              </w:rPr>
              <w:t>$7.30–$7.45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top of guidance range</w:t>
            </w:r>
          </w:p>
        </w:tc>
      </w:tr>
      <w:tr>
        <w:tc>
          <w:tcPr>
            <w:tcW w:type="dxa" w:w="1080"/>
          </w:tcPr>
          <w:p>
            <w:r>
              <w:rPr>
                <w:rFonts w:ascii="Calibri" w:hAnsi="Calibri"/>
                <w:sz w:val="22"/>
              </w:rPr>
              <w:t>HOKA Revenue — FY2027</w:t>
            </w:r>
          </w:p>
        </w:tc>
        <w:tc>
          <w:tcPr>
            <w:tcW w:type="dxa" w:w="1080"/>
          </w:tcPr>
          <w:p>
            <w:r>
              <w:rPr>
                <w:rFonts w:ascii="Calibri" w:hAnsi="Calibri"/>
                <w:sz w:val="22"/>
              </w:rPr>
              <w:t>$2,890.0M</w:t>
            </w:r>
          </w:p>
        </w:tc>
        <w:tc>
          <w:tcPr>
            <w:tcW w:type="dxa" w:w="1080"/>
          </w:tcPr>
          <w:p>
            <w:r>
              <w:rPr>
                <w:rFonts w:ascii="Calibri" w:hAnsi="Calibri"/>
                <w:sz w:val="22"/>
              </w:rPr>
              <w:t>$2,892.6M</w:t>
            </w:r>
          </w:p>
        </w:tc>
        <w:tc>
          <w:tcPr>
            <w:tcW w:type="dxa" w:w="1080"/>
          </w:tcPr>
          <w:p>
            <w:r>
              <w:rPr>
                <w:rFonts w:ascii="Calibri" w:hAnsi="Calibri"/>
                <w:sz w:val="22"/>
              </w:rPr>
              <w:t>+0.1%</w:t>
            </w:r>
          </w:p>
        </w:tc>
        <w:tc>
          <w:tcPr>
            <w:tcW w:type="dxa" w:w="1080"/>
          </w:tcPr>
          <w:p>
            <w:r>
              <w:rPr>
                <w:rFonts w:ascii="Calibri" w:hAnsi="Calibri"/>
                <w:sz w:val="22"/>
              </w:rPr>
              <w:t>Low double-digit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guidance</w:t>
            </w:r>
          </w:p>
        </w:tc>
      </w:tr>
    </w:tbl>
    <w:p>
      <w:r>
        <w:rPr>
          <w:rFonts w:ascii="Calibri" w:hAnsi="Calibri"/>
          <w:color w:val="525866"/>
          <w:sz w:val="22"/>
        </w:rPr>
        <w:t>Estimates have been essentially flat since the Q4 FY2026 print, with revisions of less than 0.1% across all key KPIs — the Street has taken guidance at face value without adding incremental cushion. The FY2027 EPS consensus of $7.47 sits just above the top of the $7.30–$7.45 guidance range, suggesting analysts are modeling modest upside from buybacks and operating leverage but are not pricing in a material beat.</w:t>
      </w:r>
    </w:p>
    <w:p>
      <w:r>
        <w:rPr>
          <w:rFonts w:ascii="Calibri" w:hAnsi="Calibri"/>
          <w:i/>
          <w:color w:val="525866"/>
          <w:sz w:val="22"/>
        </w:rPr>
        <w:t>Source: Visible Alpha Consensus and Actuals Data. Post-earnings baseline as of May 27, 2026 (5 trading days after May 21 print).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DECK has </w:t>
      </w:r>
      <w:r>
        <w:rPr>
          <w:rFonts w:ascii="Calibri" w:hAnsi="Calibri"/>
          <w:b/>
          <w:color w:val="525866"/>
          <w:sz w:val="22"/>
        </w:rPr>
        <w:t>given back all post-earnings gains</w:t>
      </w:r>
      <w:r>
        <w:rPr>
          <w:rFonts w:ascii="Calibri" w:hAnsi="Calibri"/>
          <w:color w:val="525866"/>
          <w:sz w:val="22"/>
        </w:rPr>
        <w:t xml:space="preserve"> and is trading flat to the May 21 close (~$102), underperforming NKE (-4.9%) and roughly in line with the S&amp;P 500 (+0.6%) since the print. The stock's inability to hold its initial post-earnings pop suggests the market is skeptical of the multi-year framework's durability rather than rewarding the Q4 beat — a setup that is not pricing in a Q1 beat.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DECK vs. NKE (Footwear Peer) vs. S&amp;P 500 (SPY) — Indexed to 100 at Q4 FY2026 Earnings Date (May 21, 2026). Source: Stock Price Data.</w:t>
      </w:r>
    </w:p>
    <w:p>
      <w:r>
        <w:rPr>
          <w:rFonts w:ascii="Calibri" w:hAnsi="Calibri"/>
          <w:b/>
          <w:color w:val="525866"/>
          <w:sz w:val="22"/>
        </w:rPr>
        <w:t xml:space="preserve">Sector ETF note: </w:t>
      </w:r>
      <w:r>
        <w:rPr>
          <w:rFonts w:ascii="Calibri" w:hAnsi="Calibri"/>
          <w:color w:val="525866"/>
          <w:sz w:val="22"/>
        </w:rPr>
        <w:t>NKE is used as the primary footwear peer proxy given SKX data was unavailable for the full period. NKE's -4.9% decline since May 21 reflects its own fundamental challenges (DTC weakness, sportswear declines) and is not a read-through on DECK's performance. DECK's flat performance vs. NKE's decline suggests relative outperformance within the footwear space.</w:t>
      </w:r>
    </w:p>
    <w:p>
      <w:r>
        <w:rPr>
          <w:rFonts w:ascii="Calibri" w:hAnsi="Calibri"/>
          <w:b/>
          <w:color w:val="525866"/>
          <w:sz w:val="22"/>
        </w:rPr>
        <w:t>Key events since May 21, 2026:</w:t>
      </w:r>
    </w:p>
    <w:p>
      <w:pPr>
        <w:pStyle w:val="ListBullet"/>
        <w:ind w:left="360" w:hanging="360"/>
      </w:pPr>
      <w:r>
        <w:rPr>
          <w:rFonts w:ascii="Calibri" w:hAnsi="Calibri"/>
          <w:b/>
          <w:color w:val="525866"/>
          <w:sz w:val="22"/>
        </w:rPr>
        <w:t xml:space="preserve">May 21, 2026: </w:t>
      </w:r>
      <w:r>
        <w:rPr>
          <w:rFonts w:ascii="Calibri" w:hAnsi="Calibri"/>
          <w:color w:val="525866"/>
          <w:sz w:val="22"/>
        </w:rPr>
        <w:t>Q4 FY2026 earnings beat; stock opened up ~10% before fading. DECK closed at $102.62 on earnings day.</w:t>
      </w:r>
    </w:p>
    <w:p>
      <w:pPr>
        <w:pStyle w:val="ListBullet"/>
        <w:ind w:left="360" w:hanging="360"/>
      </w:pPr>
      <w:r>
        <w:rPr>
          <w:rFonts w:ascii="Calibri" w:hAnsi="Calibri"/>
          <w:b/>
          <w:color w:val="525866"/>
          <w:sz w:val="22"/>
        </w:rPr>
        <w:t xml:space="preserve">May 22–June 11, 2026: </w:t>
      </w:r>
      <w:r>
        <w:rPr>
          <w:rFonts w:ascii="Calibri" w:hAnsi="Calibri"/>
          <w:color w:val="525866"/>
          <w:sz w:val="22"/>
        </w:rPr>
        <w:t>Stock rallied to a post-earnings high of ~$114 as investors digested the multi-year framework and gross margin outperformance.</w:t>
      </w:r>
    </w:p>
    <w:p>
      <w:pPr>
        <w:pStyle w:val="ListBullet"/>
        <w:ind w:left="360" w:hanging="360"/>
      </w:pPr>
      <w:r>
        <w:rPr>
          <w:rFonts w:ascii="Calibri" w:hAnsi="Calibri"/>
          <w:b/>
          <w:color w:val="525866"/>
          <w:sz w:val="22"/>
        </w:rPr>
        <w:t xml:space="preserve">June 12–June 30, 2026: </w:t>
      </w:r>
      <w:r>
        <w:rPr>
          <w:rFonts w:ascii="Calibri" w:hAnsi="Calibri"/>
          <w:color w:val="525866"/>
          <w:sz w:val="22"/>
        </w:rPr>
        <w:t>Gradual selloff from ~$114 to ~$99, giving back all post-earnings gains; broader macro concerns and footwear sector weakness (NKE guidance cut) weighed on sentiment.</w:t>
      </w:r>
    </w:p>
    <w:p>
      <w:pPr>
        <w:pStyle w:val="ListBullet"/>
        <w:ind w:left="360" w:hanging="360"/>
      </w:pPr>
      <w:r>
        <w:rPr>
          <w:rFonts w:ascii="Calibri" w:hAnsi="Calibri"/>
          <w:b/>
          <w:color w:val="525866"/>
          <w:sz w:val="22"/>
        </w:rPr>
        <w:t xml:space="preserve">July 1–July 22, 2026: </w:t>
      </w:r>
      <w:r>
        <w:rPr>
          <w:rFonts w:ascii="Calibri" w:hAnsi="Calibri"/>
          <w:color w:val="525866"/>
          <w:sz w:val="22"/>
        </w:rPr>
        <w:t>Modest recovery to ~$102–$107 range; stock has stabilized but remains flat to the May 21 close heading into Q1 earnings.</w:t>
      </w:r>
    </w:p>
    <w:p>
      <w:r>
        <w:rPr>
          <w:rFonts w:ascii="Calibri" w:hAnsi="Calibri"/>
          <w:i/>
          <w:color w:val="525866"/>
          <w:sz w:val="22"/>
        </w:rPr>
        <w:t>Source: Stock Price Data (Yahoo Finance).</w:t>
      </w:r>
    </w:p>
    <w:p>
      <w:r>
        <w:br w:type="page"/>
      </w:r>
    </w:p>
    <w:p>
      <w:pPr>
        <w:pStyle w:val="Heading2"/>
      </w:pPr>
      <w:r>
        <w:rPr>
          <w:rFonts w:ascii="Calibri" w:hAnsi="Calibri"/>
          <w:b/>
          <w:color w:val="3B4259"/>
          <w:sz w:val="28"/>
        </w:rPr>
        <w:t>6. Peer Commentaries — Read-Through (Last 60 Days, Current Quarter Focus)</w:t>
      </w:r>
    </w:p>
    <w:p>
      <w:r>
        <w:rPr>
          <w:rFonts w:ascii="Calibri" w:hAnsi="Calibri"/>
          <w:b/>
          <w:color w:val="525866"/>
          <w:sz w:val="22"/>
        </w:rPr>
        <w:t xml:space="preserve">Key Takeaway: </w:t>
      </w:r>
      <w:r>
        <w:rPr>
          <w:rFonts w:ascii="Calibri" w:hAnsi="Calibri"/>
          <w:color w:val="525866"/>
          <w:sz w:val="22"/>
        </w:rPr>
        <w:t xml:space="preserve">Peer commentary from the last 60 days presents a </w:t>
      </w:r>
      <w:r>
        <w:rPr>
          <w:rFonts w:ascii="Calibri" w:hAnsi="Calibri"/>
          <w:b/>
          <w:color w:val="525866"/>
          <w:sz w:val="22"/>
        </w:rPr>
        <w:t>mixed but manageable backdrop</w:t>
      </w:r>
      <w:r>
        <w:rPr>
          <w:rFonts w:ascii="Calibri" w:hAnsi="Calibri"/>
          <w:color w:val="525866"/>
          <w:sz w:val="22"/>
        </w:rPr>
        <w:t xml:space="preserve"> for DECK's Q1 FY2027 print. Nike's DTC weakness and sportswear declines are brand-specific and not a read-through on HOKA's performance category; Ralph Lauren's strong DTC comps and AUR growth validate premium brand pricing power; Lululemon's traffic headwinds are brand-specific; and Crocs' DTC-led recovery with wholesale lagging is directionally consistent with DECK's own channel dynamics.</w:t>
      </w:r>
    </w:p>
    <w:p>
      <w:pPr>
        <w:pStyle w:val="Heading3"/>
      </w:pPr>
      <w:r>
        <w:rPr>
          <w:rFonts w:ascii="Calibri" w:hAnsi="Calibri"/>
          <w:b/>
          <w:color w:val="3B4259"/>
          <w:sz w:val="24"/>
        </w:rPr>
        <w:t>Nike (NKE) — Q4 FY2026 Earnings Call (June 30, 2026)</w:t>
      </w:r>
    </w:p>
    <w:p>
      <w:r>
        <w:rPr>
          <w:rFonts w:ascii="Calibri" w:hAnsi="Calibri"/>
          <w:b/>
          <w:color w:val="525866"/>
          <w:sz w:val="22"/>
        </w:rPr>
        <w:t xml:space="preserve">Relevance to DECK Q1 FY2027: </w:t>
      </w:r>
      <w:r>
        <w:rPr>
          <w:rFonts w:ascii="Calibri" w:hAnsi="Calibri"/>
          <w:color w:val="525866"/>
          <w:sz w:val="22"/>
        </w:rPr>
        <w:t>Nike's Q4 FY2026 (quarter ending May 31, 2026) covers the same calendar period as DECK's Q1 FY2027 (quarter ending June 30, 2026), making it the most directly comparable peer read-through.</w:t>
      </w:r>
    </w:p>
    <w:p>
      <w:pPr>
        <w:pStyle w:val="ListBullet"/>
        <w:ind w:left="360" w:hanging="360"/>
      </w:pPr>
      <w:r>
        <w:rPr>
          <w:rFonts w:ascii="Calibri" w:hAnsi="Calibri"/>
          <w:b/>
          <w:color w:val="525866"/>
          <w:sz w:val="22"/>
        </w:rPr>
        <w:t xml:space="preserve">Running category strength is a positive read-through for HOKA: </w:t>
      </w:r>
      <w:r>
        <w:rPr>
          <w:rFonts w:ascii="Calibri" w:hAnsi="Calibri"/>
          <w:color w:val="525866"/>
          <w:sz w:val="22"/>
        </w:rPr>
        <w:t>Nike reported five consecutive quarters of double-digit growth in Nike Running, adding ~$1B to the running business in FY2026 across Western Europe and North America. Nike gained five points of running market share in statement footwear. This validates that the running category remains healthy and that consumers are spending on performance footwear — HOKA's core market.</w:t>
      </w:r>
    </w:p>
    <w:p>
      <w:pPr>
        <w:pStyle w:val="ListBullet"/>
        <w:ind w:left="360" w:hanging="360"/>
      </w:pPr>
      <w:r>
        <w:rPr>
          <w:rFonts w:ascii="Calibri" w:hAnsi="Calibri"/>
          <w:b/>
          <w:color w:val="525866"/>
          <w:sz w:val="22"/>
        </w:rPr>
        <w:t xml:space="preserve">Sportswear/lifestyle weakness is NOT a HOKA read-through: </w:t>
      </w:r>
      <w:r>
        <w:rPr>
          <w:rFonts w:ascii="Calibri" w:hAnsi="Calibri"/>
          <w:color w:val="525866"/>
          <w:sz w:val="22"/>
        </w:rPr>
        <w:t>Nike's sportswear declined double digits in Q4 FY2026, with Jordan streetwear sell-through challenged. This is a Nike-specific brand issue (over-distribution, promotional environment) and does not apply to HOKA, which operates in performance running and has a cleaner marketplace.</w:t>
      </w:r>
    </w:p>
    <w:p>
      <w:pPr>
        <w:pStyle w:val="ListBullet"/>
        <w:ind w:left="360" w:hanging="360"/>
      </w:pPr>
      <w:r>
        <w:rPr>
          <w:rFonts w:ascii="Calibri" w:hAnsi="Calibri"/>
          <w:b/>
          <w:color w:val="525866"/>
          <w:sz w:val="22"/>
        </w:rPr>
        <w:t xml:space="preserve">DTC weakness at Nike is brand-specific: </w:t>
      </w:r>
      <w:r>
        <w:rPr>
          <w:rFonts w:ascii="Calibri" w:hAnsi="Calibri"/>
          <w:color w:val="525866"/>
          <w:sz w:val="22"/>
        </w:rPr>
        <w:t>Nike Direct was down 9% in Q4 FY2026 (Digital -12%, Stores -7%). This contrasts sharply with DECK's Q4 FY2026 DTC comp of +8.2% and HOKA's DTC-led growth narrative. Nike's DTC decline reflects its own strategic reset, not a category-wide trend.</w:t>
      </w:r>
    </w:p>
    <w:p>
      <w:pPr>
        <w:pStyle w:val="ListBullet"/>
        <w:ind w:left="360" w:hanging="360"/>
      </w:pPr>
      <w:r>
        <w:rPr>
          <w:rFonts w:ascii="Calibri" w:hAnsi="Calibri"/>
          <w:b/>
          <w:color w:val="525866"/>
          <w:sz w:val="22"/>
        </w:rPr>
        <w:t xml:space="preserve">Macro pressure on discretionary spending is a mild negative: </w:t>
      </w:r>
      <w:r>
        <w:rPr>
          <w:rFonts w:ascii="Calibri" w:hAnsi="Calibri"/>
          <w:color w:val="525866"/>
          <w:sz w:val="22"/>
        </w:rPr>
        <w:t>Nike noted "added pressure on traffic and discretionary spending across geographies" and a deceleration in retail sales trends by mid-April. This is a mild negative read-through for DECK's Q1, though HOKA's premium positioning and full-price selling discipline have historically insulated it from promotional environments.</w:t>
      </w:r>
    </w:p>
    <w:p>
      <w:pPr>
        <w:pStyle w:val="ListBullet"/>
        <w:ind w:left="360" w:hanging="360"/>
      </w:pPr>
      <w:r>
        <w:rPr>
          <w:rFonts w:ascii="Calibri" w:hAnsi="Calibri"/>
          <w:b/>
          <w:color w:val="525866"/>
          <w:sz w:val="22"/>
        </w:rPr>
        <w:t xml:space="preserve">Nike Q1 FY2027 guidance: revenue down low-to-mid single digits, gross margin slightly positive. </w:t>
      </w:r>
      <w:r>
        <w:rPr>
          <w:rFonts w:ascii="Calibri" w:hAnsi="Calibri"/>
          <w:color w:val="525866"/>
          <w:sz w:val="22"/>
        </w:rPr>
        <w:t>This is a Nike-specific guide reflecting its own reset; DECK's Q1 guide of +5% revenue growth is in a different trajectory entirely.</w:t>
      </w:r>
    </w:p>
    <w:p>
      <w:pPr>
        <w:pStyle w:val="ListBullet"/>
        <w:ind w:left="360" w:hanging="360"/>
      </w:pPr>
      <w:r>
        <w:rPr>
          <w:rFonts w:ascii="Calibri" w:hAnsi="Calibri"/>
          <w:b/>
          <w:color w:val="525866"/>
          <w:sz w:val="22"/>
        </w:rPr>
        <w:t xml:space="preserve">Tariff refund: </w:t>
      </w:r>
      <w:r>
        <w:rPr>
          <w:rFonts w:ascii="Calibri" w:hAnsi="Calibri"/>
          <w:color w:val="525866"/>
          <w:sz w:val="22"/>
        </w:rPr>
        <w:t>Nike recognized a one-time $986M benefit in Q4 FY2026 from IEEPA tariff refunds, collecting over $300M in cash. DECK has not included any tariff refund in its guidance; if refunds materialize, they would be incremental upside to DECK's FY2027 numbers.</w:t>
      </w:r>
    </w:p>
    <w:p>
      <w:pPr>
        <w:pStyle w:val="Heading3"/>
      </w:pPr>
      <w:r>
        <w:rPr>
          <w:rFonts w:ascii="Calibri" w:hAnsi="Calibri"/>
          <w:b/>
          <w:color w:val="3B4259"/>
          <w:sz w:val="24"/>
        </w:rPr>
        <w:t>Ralph Lauren (RL) — Q4 FY2026 Earnings Call (May 21, 2026)</w:t>
      </w:r>
    </w:p>
    <w:p>
      <w:r>
        <w:rPr>
          <w:rFonts w:ascii="Calibri" w:hAnsi="Calibri"/>
          <w:b/>
          <w:color w:val="525866"/>
          <w:sz w:val="22"/>
        </w:rPr>
        <w:t xml:space="preserve">Relevance to DECK Q1 FY2027: </w:t>
      </w:r>
      <w:r>
        <w:rPr>
          <w:rFonts w:ascii="Calibri" w:hAnsi="Calibri"/>
          <w:color w:val="525866"/>
          <w:sz w:val="22"/>
        </w:rPr>
        <w:t>RL's Q4 FY2026 (quarter ending March 29, 2026) and Q1 FY2027 guidance (quarter ending June 28, 2026) are directly relevant as a premium lifestyle brand read-through.</w:t>
      </w:r>
    </w:p>
    <w:p>
      <w:pPr>
        <w:pStyle w:val="ListBullet"/>
        <w:ind w:left="360" w:hanging="360"/>
      </w:pPr>
      <w:r>
        <w:rPr>
          <w:rFonts w:ascii="Calibri" w:hAnsi="Calibri"/>
          <w:b/>
          <w:color w:val="525866"/>
          <w:sz w:val="22"/>
        </w:rPr>
        <w:t xml:space="preserve">Premium brand pricing power remains intact: </w:t>
      </w:r>
      <w:r>
        <w:rPr>
          <w:rFonts w:ascii="Calibri" w:hAnsi="Calibri"/>
          <w:color w:val="525866"/>
          <w:sz w:val="22"/>
        </w:rPr>
        <w:t>RL's AUR increased 16% in Q4 FY2026, with ~half driven by full-price selling and reduced discounting. For Q1 FY2027, RL guided high single-digit AUR growth across all regions. This validates DECK's thesis that premium brands with strong consumer loyalty can maintain pricing power even in a more promotional environment.</w:t>
      </w:r>
    </w:p>
    <w:p>
      <w:pPr>
        <w:pStyle w:val="ListBullet"/>
        <w:ind w:left="360" w:hanging="360"/>
      </w:pPr>
      <w:r>
        <w:rPr>
          <w:rFonts w:ascii="Calibri" w:hAnsi="Calibri"/>
          <w:b/>
          <w:color w:val="525866"/>
          <w:sz w:val="22"/>
        </w:rPr>
        <w:t xml:space="preserve">DTC momentum is strong across premium brands: </w:t>
      </w:r>
      <w:r>
        <w:rPr>
          <w:rFonts w:ascii="Calibri" w:hAnsi="Calibri"/>
          <w:color w:val="525866"/>
          <w:sz w:val="22"/>
        </w:rPr>
        <w:t>RL's global comparable store sales increased by a high-teens percentage in Q4 FY2026, with digital up 21% in North America. This is a positive read-through for DECK's HOKA DTC narrative, which guided Q1 growth to be primarily DTC-driven.</w:t>
      </w:r>
    </w:p>
    <w:p>
      <w:pPr>
        <w:pStyle w:val="ListBullet"/>
        <w:ind w:left="360" w:hanging="360"/>
      </w:pPr>
      <w:r>
        <w:rPr>
          <w:rFonts w:ascii="Calibri" w:hAnsi="Calibri"/>
          <w:b/>
          <w:color w:val="525866"/>
          <w:sz w:val="22"/>
        </w:rPr>
        <w:t xml:space="preserve">International growth remains a key driver: </w:t>
      </w:r>
      <w:r>
        <w:rPr>
          <w:rFonts w:ascii="Calibri" w:hAnsi="Calibri"/>
          <w:color w:val="525866"/>
          <w:sz w:val="22"/>
        </w:rPr>
        <w:t>RL's Asia comparable sales grew 25% in Q4 FY2026, with China up 50%+. RL guided high single-digit Asia growth for FY2027. This validates DECK's international expansion thesis, particularly for HOKA in EMEA and Asia.</w:t>
      </w:r>
    </w:p>
    <w:p>
      <w:pPr>
        <w:pStyle w:val="ListBullet"/>
        <w:ind w:left="360" w:hanging="360"/>
      </w:pPr>
      <w:r>
        <w:rPr>
          <w:rFonts w:ascii="Calibri" w:hAnsi="Calibri"/>
          <w:b/>
          <w:color w:val="525866"/>
          <w:sz w:val="22"/>
        </w:rPr>
        <w:t xml:space="preserve">Consumer resilience in core premium segments: </w:t>
      </w:r>
      <w:r>
        <w:rPr>
          <w:rFonts w:ascii="Calibri" w:hAnsi="Calibri"/>
          <w:color w:val="525866"/>
          <w:sz w:val="22"/>
        </w:rPr>
        <w:t>RL noted its core consumer "remains resilient exiting fiscal '26 and into the start of fiscal '27," with a shift toward more full-price and less price-sensitive consumers. This is a positive read-through for HOKA's full-price selling discipline.</w:t>
      </w:r>
    </w:p>
    <w:p>
      <w:pPr>
        <w:pStyle w:val="ListBullet"/>
        <w:ind w:left="360" w:hanging="360"/>
      </w:pPr>
      <w:r>
        <w:rPr>
          <w:rFonts w:ascii="Calibri" w:hAnsi="Calibri"/>
          <w:b/>
          <w:color w:val="525866"/>
          <w:sz w:val="22"/>
        </w:rPr>
        <w:t xml:space="preserve">EMEA macro caution is a mild negative: </w:t>
      </w:r>
      <w:r>
        <w:rPr>
          <w:rFonts w:ascii="Calibri" w:hAnsi="Calibri"/>
          <w:color w:val="525866"/>
          <w:sz w:val="22"/>
        </w:rPr>
        <w:t>RL flagged "elevated energy costs, Middle East disruption, softer inbound tourism" as EMEA headwinds for FY2027. DECK has meaningful EMEA exposure for HOKA; however, HOKA's EMEA growth has been driven by brand awareness expansion rather than tourism-dependent channels.</w:t>
      </w:r>
    </w:p>
    <w:p>
      <w:pPr>
        <w:pStyle w:val="Heading3"/>
      </w:pPr>
      <w:r>
        <w:rPr>
          <w:rFonts w:ascii="Calibri" w:hAnsi="Calibri"/>
          <w:b/>
          <w:color w:val="3B4259"/>
          <w:sz w:val="24"/>
        </w:rPr>
        <w:t>Lululemon (LULU) — Q1 FY2026 Earnings Call (June 4, 2026)</w:t>
      </w:r>
    </w:p>
    <w:p>
      <w:r>
        <w:rPr>
          <w:rFonts w:ascii="Calibri" w:hAnsi="Calibri"/>
          <w:b/>
          <w:color w:val="525866"/>
          <w:sz w:val="22"/>
        </w:rPr>
        <w:t xml:space="preserve">Relevance to DECK Q1 FY2027: </w:t>
      </w:r>
      <w:r>
        <w:rPr>
          <w:rFonts w:ascii="Calibri" w:hAnsi="Calibri"/>
          <w:color w:val="525866"/>
          <w:sz w:val="22"/>
        </w:rPr>
        <w:t>LULU's Q1 FY2026 (quarter ending April 27, 2026) covers the period just before DECK's Q1 FY2027 quarter end, providing a read on the athletic/lifestyle consumer environment.</w:t>
      </w:r>
    </w:p>
    <w:p>
      <w:pPr>
        <w:pStyle w:val="ListBullet"/>
        <w:ind w:left="360" w:hanging="360"/>
      </w:pPr>
      <w:r>
        <w:rPr>
          <w:rFonts w:ascii="Calibri" w:hAnsi="Calibri"/>
          <w:b/>
          <w:color w:val="525866"/>
          <w:sz w:val="22"/>
        </w:rPr>
        <w:t xml:space="preserve">Brand-specific headwinds, NOT a category read-through: </w:t>
      </w:r>
      <w:r>
        <w:rPr>
          <w:rFonts w:ascii="Calibri" w:hAnsi="Calibri"/>
          <w:color w:val="525866"/>
          <w:sz w:val="22"/>
        </w:rPr>
        <w:t>LULU's traffic decline and comparable sales of -2% were driven by negative brand commentary (proxy contest, product composition questions) and underperforming product launches — not a broad athletic category trend. LULU explicitly noted "relative stability in the trend of the athletic space."</w:t>
      </w:r>
    </w:p>
    <w:p>
      <w:pPr>
        <w:pStyle w:val="ListBullet"/>
        <w:ind w:left="360" w:hanging="360"/>
      </w:pPr>
      <w:r>
        <w:rPr>
          <w:rFonts w:ascii="Calibri" w:hAnsi="Calibri"/>
          <w:b/>
          <w:color w:val="525866"/>
          <w:sz w:val="22"/>
        </w:rPr>
        <w:t xml:space="preserve">Running category remains strong: </w:t>
      </w:r>
      <w:r>
        <w:rPr>
          <w:rFonts w:ascii="Calibri" w:hAnsi="Calibri"/>
          <w:color w:val="525866"/>
          <w:sz w:val="22"/>
        </w:rPr>
        <w:t>LULU's run assortment showed strong guest response in Q1, with key franchises (Fast &amp; Free, Swiftly, Metal Vent) performing well. This is a positive read-through for HOKA's performance running positioning.</w:t>
      </w:r>
    </w:p>
    <w:p>
      <w:pPr>
        <w:pStyle w:val="ListBullet"/>
        <w:ind w:left="360" w:hanging="360"/>
      </w:pPr>
      <w:r>
        <w:rPr>
          <w:rFonts w:ascii="Calibri" w:hAnsi="Calibri"/>
          <w:b/>
          <w:color w:val="525866"/>
          <w:sz w:val="22"/>
        </w:rPr>
        <w:t xml:space="preserve">Tariff headwinds are manageable: </w:t>
      </w:r>
      <w:r>
        <w:rPr>
          <w:rFonts w:ascii="Calibri" w:hAnsi="Calibri"/>
          <w:color w:val="525866"/>
          <w:sz w:val="22"/>
        </w:rPr>
        <w:t>LULU reported a 280 bps gross tariff impact in Q1, partially offset by 100 bps from efficiency initiatives. For Q2, the gross impact is expected to be ~150 bps. DECK's tariff exposure is similarly manageable, with the company having already paid ~$120M in IEEPA tariffs and pursuing refunds.</w:t>
      </w:r>
    </w:p>
    <w:p>
      <w:pPr>
        <w:pStyle w:val="ListBullet"/>
        <w:ind w:left="360" w:hanging="360"/>
      </w:pPr>
      <w:r>
        <w:rPr>
          <w:rFonts w:ascii="Calibri" w:hAnsi="Calibri"/>
          <w:b/>
          <w:color w:val="525866"/>
          <w:sz w:val="22"/>
        </w:rPr>
        <w:t xml:space="preserve">North America weakness is brand-specific: </w:t>
      </w:r>
      <w:r>
        <w:rPr>
          <w:rFonts w:ascii="Calibri" w:hAnsi="Calibri"/>
          <w:color w:val="525866"/>
          <w:sz w:val="22"/>
        </w:rPr>
        <w:t>LULU's North America revenue declined 3% in Q1 FY2026. This is not a read-through for HOKA, which guided mid-single-digit U.S. growth for FY2027 and has a cleaner marketplace and stronger brand momentum.</w:t>
      </w:r>
    </w:p>
    <w:p>
      <w:pPr>
        <w:pStyle w:val="ListBullet"/>
        <w:ind w:left="360" w:hanging="360"/>
      </w:pPr>
      <w:r>
        <w:rPr>
          <w:rFonts w:ascii="Calibri" w:hAnsi="Calibri"/>
          <w:b/>
          <w:color w:val="525866"/>
          <w:sz w:val="22"/>
        </w:rPr>
        <w:t xml:space="preserve">China strength is a positive read-through: </w:t>
      </w:r>
      <w:r>
        <w:rPr>
          <w:rFonts w:ascii="Calibri" w:hAnsi="Calibri"/>
          <w:color w:val="525866"/>
          <w:sz w:val="22"/>
        </w:rPr>
        <w:t>LULU's China Mainland revenue increased 30% in Q1 FY2026. DECK has been expanding HOKA's presence in China and views it as a key international growth market.</w:t>
      </w:r>
    </w:p>
    <w:p>
      <w:pPr>
        <w:pStyle w:val="Heading3"/>
      </w:pPr>
      <w:r>
        <w:rPr>
          <w:rFonts w:ascii="Calibri" w:hAnsi="Calibri"/>
          <w:b/>
          <w:color w:val="3B4259"/>
          <w:sz w:val="24"/>
        </w:rPr>
        <w:t>Crocs (CROX) — Baird Global Consumer Conference (June 3, 2026)</w:t>
      </w:r>
    </w:p>
    <w:p>
      <w:r>
        <w:rPr>
          <w:rFonts w:ascii="Calibri" w:hAnsi="Calibri"/>
          <w:b/>
          <w:color w:val="525866"/>
          <w:sz w:val="22"/>
        </w:rPr>
        <w:t xml:space="preserve">Relevance to DECK Q1 FY2027: </w:t>
      </w:r>
      <w:r>
        <w:rPr>
          <w:rFonts w:ascii="Calibri" w:hAnsi="Calibri"/>
          <w:color w:val="525866"/>
          <w:sz w:val="22"/>
        </w:rPr>
        <w:t>CROX's commentary at the Baird conference (June 3, 2026) covers the current quarter environment and provides a read on footwear-specific dynamics.</w:t>
      </w:r>
    </w:p>
    <w:p>
      <w:pPr>
        <w:pStyle w:val="ListBullet"/>
        <w:ind w:left="360" w:hanging="360"/>
      </w:pPr>
      <w:r>
        <w:rPr>
          <w:rFonts w:ascii="Calibri" w:hAnsi="Calibri"/>
          <w:b/>
          <w:color w:val="525866"/>
          <w:sz w:val="22"/>
        </w:rPr>
        <w:t xml:space="preserve">DTC-led recovery with wholesale lagging is consistent with DECK's channel dynamics: </w:t>
      </w:r>
      <w:r>
        <w:rPr>
          <w:rFonts w:ascii="Calibri" w:hAnsi="Calibri"/>
          <w:color w:val="525866"/>
          <w:sz w:val="22"/>
        </w:rPr>
        <w:t>CROX noted Q1 2026 showed "a pretty big divergence — Crocs DTC positive, wholesale still negative," with DTC expected to lead growth throughout the year. This is directionally consistent with DECK's Q1 FY2027 guide of HOKA growth being "primarily from DTC growth."</w:t>
      </w:r>
    </w:p>
    <w:p>
      <w:pPr>
        <w:pStyle w:val="ListBullet"/>
        <w:ind w:left="360" w:hanging="360"/>
      </w:pPr>
      <w:r>
        <w:rPr>
          <w:rFonts w:ascii="Calibri" w:hAnsi="Calibri"/>
          <w:b/>
          <w:color w:val="525866"/>
          <w:sz w:val="22"/>
        </w:rPr>
        <w:t xml:space="preserve">Consumer pressure acknowledged but brand positioning is resilient: </w:t>
      </w:r>
      <w:r>
        <w:rPr>
          <w:rFonts w:ascii="Calibri" w:hAnsi="Calibri"/>
          <w:color w:val="525866"/>
          <w:sz w:val="22"/>
        </w:rPr>
        <w:t>CROX acknowledged "pressure on the consumer" but expressed confidence in its "price-to-value perspective." DECK's HOKA brand has even stronger pricing power and brand loyalty, suggesting it is better insulated from consumer pressure.</w:t>
      </w:r>
    </w:p>
    <w:p>
      <w:pPr>
        <w:pStyle w:val="ListBullet"/>
        <w:ind w:left="360" w:hanging="360"/>
      </w:pPr>
      <w:r>
        <w:rPr>
          <w:rFonts w:ascii="Calibri" w:hAnsi="Calibri"/>
          <w:b/>
          <w:color w:val="525866"/>
          <w:sz w:val="22"/>
        </w:rPr>
        <w:t xml:space="preserve">Footwear industry is "very competitive": </w:t>
      </w:r>
      <w:r>
        <w:rPr>
          <w:rFonts w:ascii="Calibri" w:hAnsi="Calibri"/>
          <w:color w:val="525866"/>
          <w:sz w:val="22"/>
        </w:rPr>
        <w:t>CROX described the footwear industry as "very competitive" and emphasized product innovation as the key differentiator. HOKA's product innovation pipeline (Clifton launch, lifestyle green shoots with Mafate Speed 2 and Bondi 7) positions it well in this environment.</w:t>
      </w:r>
    </w:p>
    <w:p>
      <w:pPr>
        <w:pStyle w:val="ListBullet"/>
        <w:ind w:left="360" w:hanging="360"/>
      </w:pPr>
      <w:r>
        <w:rPr>
          <w:rFonts w:ascii="Calibri" w:hAnsi="Calibri"/>
          <w:b/>
          <w:color w:val="525866"/>
          <w:sz w:val="22"/>
        </w:rPr>
        <w:t xml:space="preserve">Middle East/logistics headwinds are manageable: </w:t>
      </w:r>
      <w:r>
        <w:rPr>
          <w:rFonts w:ascii="Calibri" w:hAnsi="Calibri"/>
          <w:color w:val="525866"/>
          <w:sz w:val="22"/>
        </w:rPr>
        <w:t>CROX flagged distributor store closures in the Middle East and fuel price headwinds on logistics. DECK has similar exposure but has already factored these into its FY2027 guidance (freight cost inflation is a primary gross margin headwind).</w:t>
      </w:r>
    </w:p>
    <w:p>
      <w:pPr>
        <w:pStyle w:val="Heading3"/>
      </w:pPr>
      <w:r>
        <w:rPr>
          <w:rFonts w:ascii="Calibri" w:hAnsi="Calibri"/>
          <w:b/>
          <w:color w:val="3B4259"/>
          <w:sz w:val="24"/>
        </w:rPr>
        <w:t>PVH Corp. (PVH) — Q1 FY2026 Earnings Call (June 4, 2026)</w:t>
      </w:r>
    </w:p>
    <w:p>
      <w:r>
        <w:rPr>
          <w:rFonts w:ascii="Calibri" w:hAnsi="Calibri"/>
          <w:b/>
          <w:color w:val="525866"/>
          <w:sz w:val="22"/>
        </w:rPr>
        <w:t xml:space="preserve">Relevance to DECK Q1 FY2027: </w:t>
      </w:r>
      <w:r>
        <w:rPr>
          <w:rFonts w:ascii="Calibri" w:hAnsi="Calibri"/>
          <w:color w:val="525866"/>
          <w:sz w:val="22"/>
        </w:rPr>
        <w:t>PVH's Q1 FY2026 (quarter ending May 4, 2026) provides a read on the global consumer environment across Americas, EMEA, and APAC.</w:t>
      </w:r>
    </w:p>
    <w:p>
      <w:pPr>
        <w:pStyle w:val="ListBullet"/>
        <w:ind w:left="360" w:hanging="360"/>
      </w:pPr>
      <w:r>
        <w:rPr>
          <w:rFonts w:ascii="Calibri" w:hAnsi="Calibri"/>
          <w:b/>
          <w:color w:val="525866"/>
          <w:sz w:val="22"/>
        </w:rPr>
        <w:t xml:space="preserve">Americas consumer is holding up well: </w:t>
      </w:r>
      <w:r>
        <w:rPr>
          <w:rFonts w:ascii="Calibri" w:hAnsi="Calibri"/>
          <w:color w:val="525866"/>
          <w:sz w:val="22"/>
        </w:rPr>
        <w:t>PVH noted "the consumer in America holding up well" with low single-digit DTC growth and high single-digit AUR gains. This is a positive read-through for DECK's domestic business.</w:t>
      </w:r>
    </w:p>
    <w:p>
      <w:pPr>
        <w:pStyle w:val="ListBullet"/>
        <w:ind w:left="360" w:hanging="360"/>
      </w:pPr>
      <w:r>
        <w:rPr>
          <w:rFonts w:ascii="Calibri" w:hAnsi="Calibri"/>
          <w:b/>
          <w:color w:val="525866"/>
          <w:sz w:val="22"/>
        </w:rPr>
        <w:t xml:space="preserve">EMEA macro is increasingly challenging: </w:t>
      </w:r>
      <w:r>
        <w:rPr>
          <w:rFonts w:ascii="Calibri" w:hAnsi="Calibri"/>
          <w:color w:val="525866"/>
          <w:sz w:val="22"/>
        </w:rPr>
        <w:t>PVH flagged the Middle East conflict as creating "increasingly challenging consumer and macroeconomic environment in EMEA," with lower consumer sentiment and fewer drives to stores. This is a mild negative for DECK's HOKA EMEA wholesale business, though HOKA's EMEA growth has been driven by DTC and brand awareness expansion.</w:t>
      </w:r>
    </w:p>
    <w:p>
      <w:pPr>
        <w:pStyle w:val="ListBullet"/>
        <w:ind w:left="360" w:hanging="360"/>
      </w:pPr>
      <w:r>
        <w:rPr>
          <w:rFonts w:ascii="Calibri" w:hAnsi="Calibri"/>
          <w:b/>
          <w:color w:val="525866"/>
          <w:sz w:val="22"/>
        </w:rPr>
        <w:t xml:space="preserve">APAC consumer is strengthening: </w:t>
      </w:r>
      <w:r>
        <w:rPr>
          <w:rFonts w:ascii="Calibri" w:hAnsi="Calibri"/>
          <w:color w:val="525866"/>
          <w:sz w:val="22"/>
        </w:rPr>
        <w:t>PVH noted "the consumer strengthening in APAC" with DTC up double digits. This is a positive read-through for DECK's HOKA international expansion, particularly in Asia.</w:t>
      </w:r>
    </w:p>
    <w:p>
      <w:pPr>
        <w:pStyle w:val="ListBullet"/>
        <w:ind w:left="360" w:hanging="360"/>
      </w:pPr>
      <w:r>
        <w:rPr>
          <w:rFonts w:ascii="Calibri" w:hAnsi="Calibri"/>
          <w:b/>
          <w:color w:val="525866"/>
          <w:sz w:val="22"/>
        </w:rPr>
        <w:t xml:space="preserve">Tariff refunds are materializing: </w:t>
      </w:r>
      <w:r>
        <w:rPr>
          <w:rFonts w:ascii="Calibri" w:hAnsi="Calibri"/>
          <w:color w:val="525866"/>
          <w:sz w:val="22"/>
        </w:rPr>
        <w:t>PVH included ~$100M of tariff refunds in its Q2 FY2026 guidance. This is a positive signal for DECK, which has ~$120M in IEEPA tariffs paid and is pursuing refunds (not included in guidance).</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May 21 earnings call is the </w:t>
      </w:r>
      <w:r>
        <w:rPr>
          <w:rFonts w:ascii="Calibri" w:hAnsi="Calibri"/>
          <w:b/>
          <w:color w:val="525866"/>
          <w:sz w:val="22"/>
        </w:rPr>
        <w:t>absence of any negative news</w:t>
      </w:r>
      <w:r>
        <w:rPr>
          <w:rFonts w:ascii="Calibri" w:hAnsi="Calibri"/>
          <w:color w:val="525866"/>
          <w:sz w:val="22"/>
        </w:rPr>
        <w:t xml:space="preserve"> — no guidance cuts, no pre-announcements, no leadership changes — which is itself a positive signal heading into Q1 earnings. The earnings call announcement on July 13 confirms the July 23 date.</w:t>
      </w:r>
    </w:p>
    <w:p>
      <w:pPr>
        <w:pStyle w:val="ListBullet"/>
        <w:ind w:left="360" w:hanging="360"/>
      </w:pPr>
      <w:r>
        <w:rPr>
          <w:rFonts w:ascii="Calibri" w:hAnsi="Calibri"/>
          <w:b/>
          <w:color w:val="525866"/>
          <w:sz w:val="22"/>
        </w:rPr>
        <w:t xml:space="preserve">July 13, 2026 — Earnings Call Announcement: </w:t>
      </w:r>
      <w:r>
        <w:rPr>
          <w:rFonts w:ascii="Calibri" w:hAnsi="Calibri"/>
          <w:color w:val="525866"/>
          <w:sz w:val="22"/>
        </w:rPr>
        <w:t>Deckers Brands announced a conference call to review Q1 FY2027 earnings results, scheduled for July 23, 2026 at 4:30 PM ET. Confirms the earnings date and provides no pre-announcement of results. Implication: No pre-announcement of results (positive or negative) — management is comfortable with the quarter.</w:t>
      </w:r>
    </w:p>
    <w:p>
      <w:pPr>
        <w:pStyle w:val="ListBullet"/>
        <w:ind w:left="360" w:hanging="360"/>
      </w:pPr>
      <w:r>
        <w:rPr>
          <w:rFonts w:ascii="Calibri" w:hAnsi="Calibri"/>
          <w:b/>
          <w:color w:val="525866"/>
          <w:sz w:val="22"/>
        </w:rPr>
        <w:t xml:space="preserve">May 21, 2026 — Q4 FY2026 Earnings Beat &amp; Multi-Year Framework: </w:t>
      </w:r>
      <w:r>
        <w:rPr>
          <w:rFonts w:ascii="Calibri" w:hAnsi="Calibri"/>
          <w:color w:val="525866"/>
          <w:sz w:val="22"/>
        </w:rPr>
        <w:t>DECK reported Q4 FY2026 revenue and EPS above consensus, with gross margin well above implied expectations. Management introduced a formal FY2027–FY2030 growth framework targeting high single-digit revenue CAGR and low double-digit EPS growth. Board approved additional share repurchase authorization. Implication: Sets a high bar for execution but also signals management's confidence in the long-term trajectory.</w:t>
      </w:r>
    </w:p>
    <w:p>
      <w:pPr>
        <w:pStyle w:val="ListBullet"/>
        <w:ind w:left="360" w:hanging="360"/>
      </w:pPr>
      <w:r>
        <w:rPr>
          <w:rFonts w:ascii="Calibri" w:hAnsi="Calibri"/>
          <w:b/>
          <w:color w:val="525866"/>
          <w:sz w:val="22"/>
        </w:rPr>
        <w:t xml:space="preserve">May 21, 2026 — FY2027 Guidance Issued: </w:t>
      </w:r>
      <w:r>
        <w:rPr>
          <w:rFonts w:ascii="Calibri" w:hAnsi="Calibri"/>
          <w:color w:val="525866"/>
          <w:sz w:val="22"/>
        </w:rPr>
        <w:t>Revenue guidance of $5.86B–$5.91B (high single-digit growth), gross margin ~56.5%, operating margin ~21.5%, EPS $7.30–$7.45. Q1 FY2027 specifically guided to ~5% revenue growth and EPS of $0.82–$0.87. Implication: Guidance assumes 10% tariff rate for full year; any tariff refund would be incremental upside.</w:t>
      </w:r>
    </w:p>
    <w:p>
      <w:pPr>
        <w:pStyle w:val="ListBullet"/>
        <w:ind w:left="360" w:hanging="360"/>
      </w:pPr>
      <w:r>
        <w:rPr>
          <w:rFonts w:ascii="Calibri" w:hAnsi="Calibri"/>
          <w:b/>
          <w:color w:val="525866"/>
          <w:sz w:val="22"/>
        </w:rPr>
        <w:t xml:space="preserve">June 30, 2026 — Nike Q4 FY2026 Earnings (Peer Read-Through): </w:t>
      </w:r>
      <w:r>
        <w:rPr>
          <w:rFonts w:ascii="Calibri" w:hAnsi="Calibri"/>
          <w:color w:val="525866"/>
          <w:sz w:val="22"/>
        </w:rPr>
        <w:t>Nike reported DTC down 9%, sportswear down double digits, and guided Q1 FY2027 revenue down low-to-mid single digits. Nike's running category grew mid-single digits and gained 5 points of market share. Implication: Nike's weakness is brand-specific; running category health is a positive read-through for HOKA.</w:t>
      </w:r>
    </w:p>
    <w:p>
      <w:pPr>
        <w:pStyle w:val="ListBullet"/>
        <w:ind w:left="360" w:hanging="360"/>
      </w:pPr>
      <w:r>
        <w:rPr>
          <w:rFonts w:ascii="Calibri" w:hAnsi="Calibri"/>
          <w:b/>
          <w:color w:val="525866"/>
          <w:sz w:val="22"/>
        </w:rPr>
        <w:t xml:space="preserve">June 4, 2026 — Lululemon Q1 FY2026 Earnings (Peer Read-Through): </w:t>
      </w:r>
      <w:r>
        <w:rPr>
          <w:rFonts w:ascii="Calibri" w:hAnsi="Calibri"/>
          <w:color w:val="525866"/>
          <w:sz w:val="22"/>
        </w:rPr>
        <w:t>LULU reported comparable sales of -2% and guided Q2 revenue down 2-3%, citing brand-specific headwinds (proxy contest, product misses). Noted "relative stability in the athletic space." Implication: LULU's weakness is brand-specific; athletic category remains healthy.</w:t>
      </w:r>
    </w:p>
    <w:p>
      <w:pPr>
        <w:pStyle w:val="ListBullet"/>
        <w:ind w:left="360" w:hanging="360"/>
      </w:pPr>
      <w:r>
        <w:rPr>
          <w:rFonts w:ascii="Calibri" w:hAnsi="Calibri"/>
          <w:b/>
          <w:color w:val="525866"/>
          <w:sz w:val="22"/>
        </w:rPr>
        <w:t xml:space="preserve">June 3, 2026 — Crocs Baird Conference (Peer Read-Through): </w:t>
      </w:r>
      <w:r>
        <w:rPr>
          <w:rFonts w:ascii="Calibri" w:hAnsi="Calibri"/>
          <w:color w:val="525866"/>
          <w:sz w:val="22"/>
        </w:rPr>
        <w:t>CROX noted DTC positive, wholesale still negative in Q1 2026, with confidence in returning HEYDUDE to growth in H2. Acknowledged consumer pressure but strong price-to-value positioning. Implication: DTC-led recovery dynamic is consistent with DECK's Q1 FY2027 channel narrative.</w:t>
      </w:r>
    </w:p>
    <w:p>
      <w:pPr>
        <w:pStyle w:val="ListBullet"/>
        <w:ind w:left="360" w:hanging="360"/>
      </w:pPr>
      <w:r>
        <w:rPr>
          <w:rFonts w:ascii="Calibri" w:hAnsi="Calibri"/>
          <w:b/>
          <w:color w:val="525866"/>
          <w:sz w:val="22"/>
        </w:rPr>
        <w:t xml:space="preserve">June 4, 2026 — PVH Q1 FY2026 Earnings (Peer Read-Through): </w:t>
      </w:r>
      <w:r>
        <w:rPr>
          <w:rFonts w:ascii="Calibri" w:hAnsi="Calibri"/>
          <w:color w:val="525866"/>
          <w:sz w:val="22"/>
        </w:rPr>
        <w:t>PVH beat Q1 guidance, noted Americas consumer holding up well, APAC strengthening, EMEA increasingly challenging. Included ~$100M tariff refund in Q2 guidance. Implication: Tariff refunds are materializing for peers; DECK's ~$120M in IEEPA tariffs paid could be incremental upside if refunds arrive.</w:t>
      </w:r>
    </w:p>
    <w:p>
      <w:pPr>
        <w:pStyle w:val="ListBullet"/>
        <w:ind w:left="360" w:hanging="360"/>
      </w:pPr>
      <w:r>
        <w:rPr>
          <w:rFonts w:ascii="Calibri" w:hAnsi="Calibri"/>
          <w:b/>
          <w:color w:val="525866"/>
          <w:sz w:val="22"/>
        </w:rPr>
        <w:t xml:space="preserve">Ongoing — Tariff Environment: </w:t>
      </w:r>
      <w:r>
        <w:rPr>
          <w:rFonts w:ascii="Calibri" w:hAnsi="Calibri"/>
          <w:color w:val="525866"/>
          <w:sz w:val="22"/>
        </w:rPr>
        <w:t>DECK's FY2027 guidance assumes a 10% tariff rate for the full year. H1 inventory carries higher IEEPA tariff rates already paid (~$120M gross). The company is pursuing government refunds but has not included any assumed refund amount in guidance. Implication: Any tariff refund received would be incremental upside to FY2027 EPS; the accounting treatment will be addressed when cash is received.</w:t>
      </w:r>
    </w:p>
    <w:p>
      <w:pPr>
        <w:pStyle w:val="ListBullet"/>
        <w:ind w:left="360" w:hanging="360"/>
      </w:pPr>
      <w:r>
        <w:rPr>
          <w:rFonts w:ascii="Calibri" w:hAnsi="Calibri"/>
          <w:b/>
          <w:color w:val="525866"/>
          <w:sz w:val="22"/>
        </w:rPr>
        <w:t xml:space="preserve">Ongoing — HOKA Clifton Launch (July 2026): </w:t>
      </w:r>
      <w:r>
        <w:rPr>
          <w:rFonts w:ascii="Calibri" w:hAnsi="Calibri"/>
          <w:color w:val="525866"/>
          <w:sz w:val="22"/>
        </w:rPr>
        <w:t>Management flagged that APAC distributor shipments were delayed out of Q1 FY2027 in preparation for the Clifton launch in July, as reduced shipments of the outgoing model were made leading up to the release. Implication: This is a known Q1 wholesale headwind that should reverse in Q2; the market's ability to look through this timing dynamic will be key to the stock's reaction.</w:t>
      </w:r>
    </w:p>
    <w:p>
      <w:pPr>
        <w:pStyle w:val="ListBullet"/>
        <w:ind w:left="360" w:hanging="360"/>
      </w:pPr>
      <w:r>
        <w:rPr>
          <w:rFonts w:ascii="Calibri" w:hAnsi="Calibri"/>
          <w:b/>
          <w:color w:val="525866"/>
          <w:sz w:val="22"/>
        </w:rPr>
        <w:t xml:space="preserve">Ongoing — HOKA Lifestyle Green Shoots: </w:t>
      </w:r>
      <w:r>
        <w:rPr>
          <w:rFonts w:ascii="Calibri" w:hAnsi="Calibri"/>
          <w:color w:val="525866"/>
          <w:sz w:val="22"/>
        </w:rPr>
        <w:t>Management noted "green shoots" in HOKA's lifestyle business, with Mafate Speed 2 and Bondi 7 leading the charge. Implication: Lifestyle expansion represents incremental TAM for HOKA beyond its core performance running positioning; early traction is encouraging.</w:t>
      </w:r>
    </w:p>
    <w:p>
      <w:r>
        <w:rPr>
          <w:rFonts w:ascii="Calibri" w:hAnsi="Calibri"/>
          <w:i/>
          <w:color w:val="525866"/>
          <w:sz w:val="22"/>
        </w:rPr>
        <w:t>No analyst rating changes for DECK were identified in the post-earnings period (May 21 – July 22, 2026) in the available data.</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since the May 21 earnings print. All transactions are </w:t>
      </w:r>
      <w:r>
        <w:rPr>
          <w:rFonts w:ascii="Calibri" w:hAnsi="Calibri"/>
          <w:b/>
          <w:color w:val="525866"/>
          <w:sz w:val="22"/>
        </w:rPr>
        <w:t>routine and obligation-driven</w:t>
      </w:r>
      <w:r>
        <w:rPr>
          <w:rFonts w:ascii="Calibri" w:hAnsi="Calibri"/>
          <w:color w:val="525866"/>
          <w:sz w:val="22"/>
        </w:rPr>
        <w:t xml:space="preserve"> — tax withholding on vesting RSUs (Form 4 code F) and annual director equity grants (Form 4 code A). No insider is signaling concern or unusual conviction.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Stefano Caroti</w:t>
            </w:r>
          </w:p>
        </w:tc>
        <w:tc>
          <w:tcPr>
            <w:tcW w:type="dxa" w:w="1440"/>
          </w:tcPr>
          <w:p>
            <w:r>
              <w:rPr>
                <w:rFonts w:ascii="Calibri" w:hAnsi="Calibri"/>
                <w:sz w:val="22"/>
              </w:rPr>
              <w:t>President &amp; CEO</w:t>
            </w:r>
          </w:p>
        </w:tc>
        <w:tc>
          <w:tcPr>
            <w:tcW w:type="dxa" w:w="1440"/>
          </w:tcPr>
          <w:p>
            <w:r>
              <w:rPr>
                <w:rFonts w:ascii="Calibri" w:hAnsi="Calibri"/>
                <w:sz w:val="22"/>
              </w:rPr>
              <w:t>Tax Withholding (F)</w:t>
            </w:r>
          </w:p>
        </w:tc>
        <w:tc>
          <w:tcPr>
            <w:tcW w:type="dxa" w:w="1440"/>
          </w:tcPr>
          <w:p>
            <w:r>
              <w:rPr>
                <w:rFonts w:ascii="Calibri" w:hAnsi="Calibri"/>
                <w:sz w:val="22"/>
              </w:rPr>
              <w:t>10,532 shares</w:t>
            </w:r>
          </w:p>
        </w:tc>
        <w:tc>
          <w:tcPr>
            <w:tcW w:type="dxa" w:w="1440"/>
          </w:tcPr>
          <w:p>
            <w:r>
              <w:rPr>
                <w:rFonts w:ascii="Calibri" w:hAnsi="Calibri"/>
                <w:sz w:val="22"/>
              </w:rPr>
              <w:t>May 20, 2026</w:t>
            </w:r>
          </w:p>
        </w:tc>
        <w:tc>
          <w:tcPr>
            <w:tcW w:type="dxa" w:w="1440"/>
          </w:tcPr>
          <w:p>
            <w:r>
              <w:rPr>
                <w:rFonts w:ascii="Calibri" w:hAnsi="Calibri"/>
                <w:sz w:val="22"/>
              </w:rPr>
              <w:t>Obligation-driven; shares withheld for tax on RSU vesting. Not a discretionary sale.</w:t>
            </w:r>
          </w:p>
        </w:tc>
      </w:tr>
      <w:tr>
        <w:tc>
          <w:tcPr>
            <w:tcW w:type="dxa" w:w="1440"/>
          </w:tcPr>
          <w:p>
            <w:r>
              <w:rPr>
                <w:rFonts w:ascii="Calibri" w:hAnsi="Calibri"/>
                <w:sz w:val="22"/>
              </w:rPr>
              <w:t>Steven J. Fasching</w:t>
            </w:r>
          </w:p>
        </w:tc>
        <w:tc>
          <w:tcPr>
            <w:tcW w:type="dxa" w:w="1440"/>
          </w:tcPr>
          <w:p>
            <w:r>
              <w:rPr>
                <w:rFonts w:ascii="Calibri" w:hAnsi="Calibri"/>
                <w:sz w:val="22"/>
              </w:rPr>
              <w:t>Chief Financial Officer</w:t>
            </w:r>
          </w:p>
        </w:tc>
        <w:tc>
          <w:tcPr>
            <w:tcW w:type="dxa" w:w="1440"/>
          </w:tcPr>
          <w:p>
            <w:r>
              <w:rPr>
                <w:rFonts w:ascii="Calibri" w:hAnsi="Calibri"/>
                <w:sz w:val="22"/>
              </w:rPr>
              <w:t>Tax Withholding (F)</w:t>
            </w:r>
          </w:p>
        </w:tc>
        <w:tc>
          <w:tcPr>
            <w:tcW w:type="dxa" w:w="1440"/>
          </w:tcPr>
          <w:p>
            <w:r>
              <w:rPr>
                <w:rFonts w:ascii="Calibri" w:hAnsi="Calibri"/>
                <w:sz w:val="22"/>
              </w:rPr>
              <w:t>21,944 shares</w:t>
            </w:r>
          </w:p>
        </w:tc>
        <w:tc>
          <w:tcPr>
            <w:tcW w:type="dxa" w:w="1440"/>
          </w:tcPr>
          <w:p>
            <w:r>
              <w:rPr>
                <w:rFonts w:ascii="Calibri" w:hAnsi="Calibri"/>
                <w:sz w:val="22"/>
              </w:rPr>
              <w:t>May 20, 2026</w:t>
            </w:r>
          </w:p>
        </w:tc>
        <w:tc>
          <w:tcPr>
            <w:tcW w:type="dxa" w:w="1440"/>
          </w:tcPr>
          <w:p>
            <w:r>
              <w:rPr>
                <w:rFonts w:ascii="Calibri" w:hAnsi="Calibri"/>
                <w:sz w:val="22"/>
              </w:rPr>
              <w:t>Obligation-driven; shares withheld for tax on RSU vesting. Not a discretionary sale.</w:t>
            </w:r>
          </w:p>
        </w:tc>
      </w:tr>
      <w:tr>
        <w:tc>
          <w:tcPr>
            <w:tcW w:type="dxa" w:w="1440"/>
          </w:tcPr>
          <w:p>
            <w:r>
              <w:rPr>
                <w:rFonts w:ascii="Calibri" w:hAnsi="Calibri"/>
                <w:sz w:val="22"/>
              </w:rPr>
              <w:t>Anne Spangenberg</w:t>
            </w:r>
          </w:p>
        </w:tc>
        <w:tc>
          <w:tcPr>
            <w:tcW w:type="dxa" w:w="1440"/>
          </w:tcPr>
          <w:p>
            <w:r>
              <w:rPr>
                <w:rFonts w:ascii="Calibri" w:hAnsi="Calibri"/>
                <w:sz w:val="22"/>
              </w:rPr>
              <w:t>President, Fashion Lifestyle</w:t>
            </w:r>
          </w:p>
        </w:tc>
        <w:tc>
          <w:tcPr>
            <w:tcW w:type="dxa" w:w="1440"/>
          </w:tcPr>
          <w:p>
            <w:r>
              <w:rPr>
                <w:rFonts w:ascii="Calibri" w:hAnsi="Calibri"/>
                <w:sz w:val="22"/>
              </w:rPr>
              <w:t>Tax Withholding (F)</w:t>
            </w:r>
          </w:p>
        </w:tc>
        <w:tc>
          <w:tcPr>
            <w:tcW w:type="dxa" w:w="1440"/>
          </w:tcPr>
          <w:p>
            <w:r>
              <w:rPr>
                <w:rFonts w:ascii="Calibri" w:hAnsi="Calibri"/>
                <w:sz w:val="22"/>
              </w:rPr>
              <w:t>7,623 shares</w:t>
            </w:r>
          </w:p>
        </w:tc>
        <w:tc>
          <w:tcPr>
            <w:tcW w:type="dxa" w:w="1440"/>
          </w:tcPr>
          <w:p>
            <w:r>
              <w:rPr>
                <w:rFonts w:ascii="Calibri" w:hAnsi="Calibri"/>
                <w:sz w:val="22"/>
              </w:rPr>
              <w:t>May 20, 2026</w:t>
            </w:r>
          </w:p>
        </w:tc>
        <w:tc>
          <w:tcPr>
            <w:tcW w:type="dxa" w:w="1440"/>
          </w:tcPr>
          <w:p>
            <w:r>
              <w:rPr>
                <w:rFonts w:ascii="Calibri" w:hAnsi="Calibri"/>
                <w:sz w:val="22"/>
              </w:rPr>
              <w:t>Obligation-driven; shares withheld for tax on RSU vesting. Not a discretionary sale.</w:t>
            </w:r>
          </w:p>
        </w:tc>
      </w:tr>
      <w:tr>
        <w:tc>
          <w:tcPr>
            <w:tcW w:type="dxa" w:w="1440"/>
          </w:tcPr>
          <w:p>
            <w:r>
              <w:rPr>
                <w:rFonts w:ascii="Calibri" w:hAnsi="Calibri"/>
                <w:sz w:val="22"/>
              </w:rPr>
              <w:t>Thomas Garcia</w:t>
            </w:r>
          </w:p>
        </w:tc>
        <w:tc>
          <w:tcPr>
            <w:tcW w:type="dxa" w:w="1440"/>
          </w:tcPr>
          <w:p>
            <w:r>
              <w:rPr>
                <w:rFonts w:ascii="Calibri" w:hAnsi="Calibri"/>
                <w:sz w:val="22"/>
              </w:rPr>
              <w:t>Chief Administrative Officer</w:t>
            </w:r>
          </w:p>
        </w:tc>
        <w:tc>
          <w:tcPr>
            <w:tcW w:type="dxa" w:w="1440"/>
          </w:tcPr>
          <w:p>
            <w:r>
              <w:rPr>
                <w:rFonts w:ascii="Calibri" w:hAnsi="Calibri"/>
                <w:sz w:val="22"/>
              </w:rPr>
              <w:t>Tax Withholding (F)</w:t>
            </w:r>
          </w:p>
        </w:tc>
        <w:tc>
          <w:tcPr>
            <w:tcW w:type="dxa" w:w="1440"/>
          </w:tcPr>
          <w:p>
            <w:r>
              <w:rPr>
                <w:rFonts w:ascii="Calibri" w:hAnsi="Calibri"/>
                <w:sz w:val="22"/>
              </w:rPr>
              <w:t>4,581 shares</w:t>
            </w:r>
          </w:p>
        </w:tc>
        <w:tc>
          <w:tcPr>
            <w:tcW w:type="dxa" w:w="1440"/>
          </w:tcPr>
          <w:p>
            <w:r>
              <w:rPr>
                <w:rFonts w:ascii="Calibri" w:hAnsi="Calibri"/>
                <w:sz w:val="22"/>
              </w:rPr>
              <w:t>May 20, 2026</w:t>
            </w:r>
          </w:p>
        </w:tc>
        <w:tc>
          <w:tcPr>
            <w:tcW w:type="dxa" w:w="1440"/>
          </w:tcPr>
          <w:p>
            <w:r>
              <w:rPr>
                <w:rFonts w:ascii="Calibri" w:hAnsi="Calibri"/>
                <w:sz w:val="22"/>
              </w:rPr>
              <w:t>Obligation-driven; shares withheld for tax on RSU vesting. Not a discretionary sale.</w:t>
            </w:r>
          </w:p>
        </w:tc>
      </w:tr>
      <w:tr>
        <w:tc>
          <w:tcPr>
            <w:tcW w:type="dxa" w:w="1440"/>
          </w:tcPr>
          <w:p>
            <w:r>
              <w:rPr>
                <w:rFonts w:ascii="Calibri" w:hAnsi="Calibri"/>
                <w:sz w:val="22"/>
              </w:rPr>
              <w:t>Robin Spring-Green</w:t>
            </w:r>
          </w:p>
        </w:tc>
        <w:tc>
          <w:tcPr>
            <w:tcW w:type="dxa" w:w="1440"/>
          </w:tcPr>
          <w:p>
            <w:r>
              <w:rPr>
                <w:rFonts w:ascii="Calibri" w:hAnsi="Calibri"/>
                <w:sz w:val="22"/>
              </w:rPr>
              <w:t>President, HOKA</w:t>
            </w:r>
          </w:p>
        </w:tc>
        <w:tc>
          <w:tcPr>
            <w:tcW w:type="dxa" w:w="1440"/>
          </w:tcPr>
          <w:p>
            <w:r>
              <w:rPr>
                <w:rFonts w:ascii="Calibri" w:hAnsi="Calibri"/>
                <w:sz w:val="22"/>
              </w:rPr>
              <w:t>Tax Withholding (F)</w:t>
            </w:r>
          </w:p>
        </w:tc>
        <w:tc>
          <w:tcPr>
            <w:tcW w:type="dxa" w:w="1440"/>
          </w:tcPr>
          <w:p>
            <w:r>
              <w:rPr>
                <w:rFonts w:ascii="Calibri" w:hAnsi="Calibri"/>
                <w:sz w:val="22"/>
              </w:rPr>
              <w:t>1,959 shares</w:t>
            </w:r>
          </w:p>
        </w:tc>
        <w:tc>
          <w:tcPr>
            <w:tcW w:type="dxa" w:w="1440"/>
          </w:tcPr>
          <w:p>
            <w:r>
              <w:rPr>
                <w:rFonts w:ascii="Calibri" w:hAnsi="Calibri"/>
                <w:sz w:val="22"/>
              </w:rPr>
              <w:t>May 20, 2026</w:t>
            </w:r>
          </w:p>
        </w:tc>
        <w:tc>
          <w:tcPr>
            <w:tcW w:type="dxa" w:w="1440"/>
          </w:tcPr>
          <w:p>
            <w:r>
              <w:rPr>
                <w:rFonts w:ascii="Calibri" w:hAnsi="Calibri"/>
                <w:sz w:val="22"/>
              </w:rPr>
              <w:t>Obligation-driven; shares withheld for tax on RSU vesting. Not a discretionary sale.</w:t>
            </w:r>
          </w:p>
        </w:tc>
      </w:tr>
      <w:tr>
        <w:tc>
          <w:tcPr>
            <w:tcW w:type="dxa" w:w="1440"/>
          </w:tcPr>
          <w:p>
            <w:r>
              <w:rPr>
                <w:rFonts w:ascii="Calibri" w:hAnsi="Calibri"/>
                <w:sz w:val="22"/>
              </w:rPr>
              <w:t>Marco Ellerker</w:t>
            </w:r>
          </w:p>
        </w:tc>
        <w:tc>
          <w:tcPr>
            <w:tcW w:type="dxa" w:w="1440"/>
          </w:tcPr>
          <w:p>
            <w:r>
              <w:rPr>
                <w:rFonts w:ascii="Calibri" w:hAnsi="Calibri"/>
                <w:sz w:val="22"/>
              </w:rPr>
              <w:t>President, Global Marketplace</w:t>
            </w:r>
          </w:p>
        </w:tc>
        <w:tc>
          <w:tcPr>
            <w:tcW w:type="dxa" w:w="1440"/>
          </w:tcPr>
          <w:p>
            <w:r>
              <w:rPr>
                <w:rFonts w:ascii="Calibri" w:hAnsi="Calibri"/>
                <w:sz w:val="22"/>
              </w:rPr>
              <w:t>Tax Withholding (F)</w:t>
            </w:r>
          </w:p>
        </w:tc>
        <w:tc>
          <w:tcPr>
            <w:tcW w:type="dxa" w:w="1440"/>
          </w:tcPr>
          <w:p>
            <w:r>
              <w:rPr>
                <w:rFonts w:ascii="Calibri" w:hAnsi="Calibri"/>
                <w:sz w:val="22"/>
              </w:rPr>
              <w:t>1,508 shares</w:t>
            </w:r>
          </w:p>
        </w:tc>
        <w:tc>
          <w:tcPr>
            <w:tcW w:type="dxa" w:w="1440"/>
          </w:tcPr>
          <w:p>
            <w:r>
              <w:rPr>
                <w:rFonts w:ascii="Calibri" w:hAnsi="Calibri"/>
                <w:sz w:val="22"/>
              </w:rPr>
              <w:t>May 20, 2026</w:t>
            </w:r>
          </w:p>
        </w:tc>
        <w:tc>
          <w:tcPr>
            <w:tcW w:type="dxa" w:w="1440"/>
          </w:tcPr>
          <w:p>
            <w:r>
              <w:rPr>
                <w:rFonts w:ascii="Calibri" w:hAnsi="Calibri"/>
                <w:sz w:val="22"/>
              </w:rPr>
              <w:t>Obligation-driven; shares withheld for tax on RSU vesting. Not a discretionary sale.</w:t>
            </w:r>
          </w:p>
        </w:tc>
      </w:tr>
      <w:tr>
        <w:tc>
          <w:tcPr>
            <w:tcW w:type="dxa" w:w="1440"/>
          </w:tcPr>
          <w:p>
            <w:r>
              <w:rPr>
                <w:rFonts w:ascii="Calibri" w:hAnsi="Calibri"/>
                <w:sz w:val="22"/>
              </w:rPr>
              <w:t>Angela Ogbechie</w:t>
            </w:r>
          </w:p>
        </w:tc>
        <w:tc>
          <w:tcPr>
            <w:tcW w:type="dxa" w:w="1440"/>
          </w:tcPr>
          <w:p>
            <w:r>
              <w:rPr>
                <w:rFonts w:ascii="Calibri" w:hAnsi="Calibri"/>
                <w:sz w:val="22"/>
              </w:rPr>
              <w:t>Chief Supply Chain Officer</w:t>
            </w:r>
          </w:p>
        </w:tc>
        <w:tc>
          <w:tcPr>
            <w:tcW w:type="dxa" w:w="1440"/>
          </w:tcPr>
          <w:p>
            <w:r>
              <w:rPr>
                <w:rFonts w:ascii="Calibri" w:hAnsi="Calibri"/>
                <w:sz w:val="22"/>
              </w:rPr>
              <w:t>Tax Withholding (F)</w:t>
            </w:r>
          </w:p>
        </w:tc>
        <w:tc>
          <w:tcPr>
            <w:tcW w:type="dxa" w:w="1440"/>
          </w:tcPr>
          <w:p>
            <w:r>
              <w:rPr>
                <w:rFonts w:ascii="Calibri" w:hAnsi="Calibri"/>
                <w:sz w:val="22"/>
              </w:rPr>
              <w:t>2,634 shares</w:t>
            </w:r>
          </w:p>
        </w:tc>
        <w:tc>
          <w:tcPr>
            <w:tcW w:type="dxa" w:w="1440"/>
          </w:tcPr>
          <w:p>
            <w:r>
              <w:rPr>
                <w:rFonts w:ascii="Calibri" w:hAnsi="Calibri"/>
                <w:sz w:val="22"/>
              </w:rPr>
              <w:t>May 20, 2026</w:t>
            </w:r>
          </w:p>
        </w:tc>
        <w:tc>
          <w:tcPr>
            <w:tcW w:type="dxa" w:w="1440"/>
          </w:tcPr>
          <w:p>
            <w:r>
              <w:rPr>
                <w:rFonts w:ascii="Calibri" w:hAnsi="Calibri"/>
                <w:sz w:val="22"/>
              </w:rPr>
              <w:t>Obligation-driven; shares withheld for tax on RSU vesting. Not a discretionary sale.</w:t>
            </w:r>
          </w:p>
        </w:tc>
      </w:tr>
      <w:tr>
        <w:tc>
          <w:tcPr>
            <w:tcW w:type="dxa" w:w="1440"/>
          </w:tcPr>
          <w:p>
            <w:r>
              <w:rPr>
                <w:rFonts w:ascii="Calibri" w:hAnsi="Calibri"/>
                <w:sz w:val="22"/>
              </w:rPr>
              <w:t>David A. Burwick</w:t>
            </w:r>
          </w:p>
        </w:tc>
        <w:tc>
          <w:tcPr>
            <w:tcW w:type="dxa" w:w="1440"/>
          </w:tcPr>
          <w:p>
            <w:r>
              <w:rPr>
                <w:rFonts w:ascii="Calibri" w:hAnsi="Calibri"/>
                <w:sz w:val="22"/>
              </w:rPr>
              <w:t>Director</w:t>
            </w:r>
          </w:p>
        </w:tc>
        <w:tc>
          <w:tcPr>
            <w:tcW w:type="dxa" w:w="1440"/>
          </w:tcPr>
          <w:p>
            <w:r>
              <w:rPr>
                <w:rFonts w:ascii="Calibri" w:hAnsi="Calibri"/>
                <w:sz w:val="22"/>
              </w:rPr>
              <w:t>Director Equity Grant (A)</w:t>
            </w:r>
          </w:p>
        </w:tc>
        <w:tc>
          <w:tcPr>
            <w:tcW w:type="dxa" w:w="1440"/>
          </w:tcPr>
          <w:p>
            <w:r>
              <w:rPr>
                <w:rFonts w:ascii="Calibri" w:hAnsi="Calibri"/>
                <w:sz w:val="22"/>
              </w:rPr>
              <w:t>448 shares</w:t>
            </w:r>
          </w:p>
        </w:tc>
        <w:tc>
          <w:tcPr>
            <w:tcW w:type="dxa" w:w="1440"/>
          </w:tcPr>
          <w:p>
            <w:r>
              <w:rPr>
                <w:rFonts w:ascii="Calibri" w:hAnsi="Calibri"/>
                <w:sz w:val="22"/>
              </w:rPr>
              <w:t>June 1, 2026</w:t>
            </w:r>
          </w:p>
        </w:tc>
        <w:tc>
          <w:tcPr>
            <w:tcW w:type="dxa" w:w="1440"/>
          </w:tcPr>
          <w:p>
            <w:r>
              <w:rPr>
                <w:rFonts w:ascii="Calibri" w:hAnsi="Calibri"/>
                <w:sz w:val="22"/>
              </w:rPr>
              <w:t>Annual director equity compensation grant. Routine; not a market signal.</w:t>
            </w:r>
          </w:p>
        </w:tc>
      </w:tr>
      <w:tr>
        <w:tc>
          <w:tcPr>
            <w:tcW w:type="dxa" w:w="1440"/>
          </w:tcPr>
          <w:p>
            <w:r>
              <w:rPr>
                <w:rFonts w:ascii="Calibri" w:hAnsi="Calibri"/>
                <w:sz w:val="22"/>
              </w:rPr>
              <w:t>Nelson Chan</w:t>
            </w:r>
          </w:p>
        </w:tc>
        <w:tc>
          <w:tcPr>
            <w:tcW w:type="dxa" w:w="1440"/>
          </w:tcPr>
          <w:p>
            <w:r>
              <w:rPr>
                <w:rFonts w:ascii="Calibri" w:hAnsi="Calibri"/>
                <w:sz w:val="22"/>
              </w:rPr>
              <w:t>Director</w:t>
            </w:r>
          </w:p>
        </w:tc>
        <w:tc>
          <w:tcPr>
            <w:tcW w:type="dxa" w:w="1440"/>
          </w:tcPr>
          <w:p>
            <w:r>
              <w:rPr>
                <w:rFonts w:ascii="Calibri" w:hAnsi="Calibri"/>
                <w:sz w:val="22"/>
              </w:rPr>
              <w:t>Director Equity Grant (A)</w:t>
            </w:r>
          </w:p>
        </w:tc>
        <w:tc>
          <w:tcPr>
            <w:tcW w:type="dxa" w:w="1440"/>
          </w:tcPr>
          <w:p>
            <w:r>
              <w:rPr>
                <w:rFonts w:ascii="Calibri" w:hAnsi="Calibri"/>
                <w:sz w:val="22"/>
              </w:rPr>
              <w:t>448 shares</w:t>
            </w:r>
          </w:p>
        </w:tc>
        <w:tc>
          <w:tcPr>
            <w:tcW w:type="dxa" w:w="1440"/>
          </w:tcPr>
          <w:p>
            <w:r>
              <w:rPr>
                <w:rFonts w:ascii="Calibri" w:hAnsi="Calibri"/>
                <w:sz w:val="22"/>
              </w:rPr>
              <w:t>June 1, 2026</w:t>
            </w:r>
          </w:p>
        </w:tc>
        <w:tc>
          <w:tcPr>
            <w:tcW w:type="dxa" w:w="1440"/>
          </w:tcPr>
          <w:p>
            <w:r>
              <w:rPr>
                <w:rFonts w:ascii="Calibri" w:hAnsi="Calibri"/>
                <w:sz w:val="22"/>
              </w:rPr>
              <w:t>Annual director equity compensation grant. Routine; not a market signal.</w:t>
            </w:r>
          </w:p>
        </w:tc>
      </w:tr>
      <w:tr>
        <w:tc>
          <w:tcPr>
            <w:tcW w:type="dxa" w:w="1440"/>
          </w:tcPr>
          <w:p>
            <w:r>
              <w:rPr>
                <w:rFonts w:ascii="Calibri" w:hAnsi="Calibri"/>
                <w:sz w:val="22"/>
              </w:rPr>
              <w:t>Cindy L. Davis</w:t>
            </w:r>
          </w:p>
        </w:tc>
        <w:tc>
          <w:tcPr>
            <w:tcW w:type="dxa" w:w="1440"/>
          </w:tcPr>
          <w:p>
            <w:r>
              <w:rPr>
                <w:rFonts w:ascii="Calibri" w:hAnsi="Calibri"/>
                <w:sz w:val="22"/>
              </w:rPr>
              <w:t>Director</w:t>
            </w:r>
          </w:p>
        </w:tc>
        <w:tc>
          <w:tcPr>
            <w:tcW w:type="dxa" w:w="1440"/>
          </w:tcPr>
          <w:p>
            <w:r>
              <w:rPr>
                <w:rFonts w:ascii="Calibri" w:hAnsi="Calibri"/>
                <w:sz w:val="22"/>
              </w:rPr>
              <w:t>Director Equity Grant (A)</w:t>
            </w:r>
          </w:p>
        </w:tc>
        <w:tc>
          <w:tcPr>
            <w:tcW w:type="dxa" w:w="1440"/>
          </w:tcPr>
          <w:p>
            <w:r>
              <w:rPr>
                <w:rFonts w:ascii="Calibri" w:hAnsi="Calibri"/>
                <w:sz w:val="22"/>
              </w:rPr>
              <w:t>448 shares</w:t>
            </w:r>
          </w:p>
        </w:tc>
        <w:tc>
          <w:tcPr>
            <w:tcW w:type="dxa" w:w="1440"/>
          </w:tcPr>
          <w:p>
            <w:r>
              <w:rPr>
                <w:rFonts w:ascii="Calibri" w:hAnsi="Calibri"/>
                <w:sz w:val="22"/>
              </w:rPr>
              <w:t>June 1, 2026</w:t>
            </w:r>
          </w:p>
        </w:tc>
        <w:tc>
          <w:tcPr>
            <w:tcW w:type="dxa" w:w="1440"/>
          </w:tcPr>
          <w:p>
            <w:r>
              <w:rPr>
                <w:rFonts w:ascii="Calibri" w:hAnsi="Calibri"/>
                <w:sz w:val="22"/>
              </w:rPr>
              <w:t>Annual director equity compensation grant. Routine; not a market signal.</w:t>
            </w:r>
          </w:p>
        </w:tc>
      </w:tr>
      <w:tr>
        <w:tc>
          <w:tcPr>
            <w:tcW w:type="dxa" w:w="1440"/>
          </w:tcPr>
          <w:p>
            <w:r>
              <w:rPr>
                <w:rFonts w:ascii="Calibri" w:hAnsi="Calibri"/>
                <w:sz w:val="22"/>
              </w:rPr>
              <w:t>Juan R. Figuereo</w:t>
            </w:r>
          </w:p>
        </w:tc>
        <w:tc>
          <w:tcPr>
            <w:tcW w:type="dxa" w:w="1440"/>
          </w:tcPr>
          <w:p>
            <w:r>
              <w:rPr>
                <w:rFonts w:ascii="Calibri" w:hAnsi="Calibri"/>
                <w:sz w:val="22"/>
              </w:rPr>
              <w:t>Director</w:t>
            </w:r>
          </w:p>
        </w:tc>
        <w:tc>
          <w:tcPr>
            <w:tcW w:type="dxa" w:w="1440"/>
          </w:tcPr>
          <w:p>
            <w:r>
              <w:rPr>
                <w:rFonts w:ascii="Calibri" w:hAnsi="Calibri"/>
                <w:sz w:val="22"/>
              </w:rPr>
              <w:t>Director Equity Grant (A)</w:t>
            </w:r>
          </w:p>
        </w:tc>
        <w:tc>
          <w:tcPr>
            <w:tcW w:type="dxa" w:w="1440"/>
          </w:tcPr>
          <w:p>
            <w:r>
              <w:rPr>
                <w:rFonts w:ascii="Calibri" w:hAnsi="Calibri"/>
                <w:sz w:val="22"/>
              </w:rPr>
              <w:t>448 shares</w:t>
            </w:r>
          </w:p>
        </w:tc>
        <w:tc>
          <w:tcPr>
            <w:tcW w:type="dxa" w:w="1440"/>
          </w:tcPr>
          <w:p>
            <w:r>
              <w:rPr>
                <w:rFonts w:ascii="Calibri" w:hAnsi="Calibri"/>
                <w:sz w:val="22"/>
              </w:rPr>
              <w:t>June 1, 2026</w:t>
            </w:r>
          </w:p>
        </w:tc>
        <w:tc>
          <w:tcPr>
            <w:tcW w:type="dxa" w:w="1440"/>
          </w:tcPr>
          <w:p>
            <w:r>
              <w:rPr>
                <w:rFonts w:ascii="Calibri" w:hAnsi="Calibri"/>
                <w:sz w:val="22"/>
              </w:rPr>
              <w:t>Annual director equity compensation grant. Routine; not a market signal.</w:t>
            </w:r>
          </w:p>
        </w:tc>
      </w:tr>
      <w:tr>
        <w:tc>
          <w:tcPr>
            <w:tcW w:type="dxa" w:w="1440"/>
          </w:tcPr>
          <w:p>
            <w:r>
              <w:rPr>
                <w:rFonts w:ascii="Calibri" w:hAnsi="Calibri"/>
                <w:sz w:val="22"/>
              </w:rPr>
              <w:t>Maha Saleh Ibrahim</w:t>
            </w:r>
          </w:p>
        </w:tc>
        <w:tc>
          <w:tcPr>
            <w:tcW w:type="dxa" w:w="1440"/>
          </w:tcPr>
          <w:p>
            <w:r>
              <w:rPr>
                <w:rFonts w:ascii="Calibri" w:hAnsi="Calibri"/>
                <w:sz w:val="22"/>
              </w:rPr>
              <w:t>Director</w:t>
            </w:r>
          </w:p>
        </w:tc>
        <w:tc>
          <w:tcPr>
            <w:tcW w:type="dxa" w:w="1440"/>
          </w:tcPr>
          <w:p>
            <w:r>
              <w:rPr>
                <w:rFonts w:ascii="Calibri" w:hAnsi="Calibri"/>
                <w:sz w:val="22"/>
              </w:rPr>
              <w:t>Director Equity Grant (A)</w:t>
            </w:r>
          </w:p>
        </w:tc>
        <w:tc>
          <w:tcPr>
            <w:tcW w:type="dxa" w:w="1440"/>
          </w:tcPr>
          <w:p>
            <w:r>
              <w:rPr>
                <w:rFonts w:ascii="Calibri" w:hAnsi="Calibri"/>
                <w:sz w:val="22"/>
              </w:rPr>
              <w:t>683 shares</w:t>
            </w:r>
          </w:p>
        </w:tc>
        <w:tc>
          <w:tcPr>
            <w:tcW w:type="dxa" w:w="1440"/>
          </w:tcPr>
          <w:p>
            <w:r>
              <w:rPr>
                <w:rFonts w:ascii="Calibri" w:hAnsi="Calibri"/>
                <w:sz w:val="22"/>
              </w:rPr>
              <w:t>June 1, 2026</w:t>
            </w:r>
          </w:p>
        </w:tc>
        <w:tc>
          <w:tcPr>
            <w:tcW w:type="dxa" w:w="1440"/>
          </w:tcPr>
          <w:p>
            <w:r>
              <w:rPr>
                <w:rFonts w:ascii="Calibri" w:hAnsi="Calibri"/>
                <w:sz w:val="22"/>
              </w:rPr>
              <w:t>Annual director equity compensation grant. Routine; not a market signal.</w:t>
            </w:r>
          </w:p>
        </w:tc>
      </w:tr>
      <w:tr>
        <w:tc>
          <w:tcPr>
            <w:tcW w:type="dxa" w:w="1440"/>
          </w:tcPr>
          <w:p>
            <w:r>
              <w:rPr>
                <w:rFonts w:ascii="Calibri" w:hAnsi="Calibri"/>
                <w:sz w:val="22"/>
              </w:rPr>
              <w:t>Victor Luis</w:t>
            </w:r>
          </w:p>
        </w:tc>
        <w:tc>
          <w:tcPr>
            <w:tcW w:type="dxa" w:w="1440"/>
          </w:tcPr>
          <w:p>
            <w:r>
              <w:rPr>
                <w:rFonts w:ascii="Calibri" w:hAnsi="Calibri"/>
                <w:sz w:val="22"/>
              </w:rPr>
              <w:t>Director</w:t>
            </w:r>
          </w:p>
        </w:tc>
        <w:tc>
          <w:tcPr>
            <w:tcW w:type="dxa" w:w="1440"/>
          </w:tcPr>
          <w:p>
            <w:r>
              <w:rPr>
                <w:rFonts w:ascii="Calibri" w:hAnsi="Calibri"/>
                <w:sz w:val="22"/>
              </w:rPr>
              <w:t>Director Equity Grant (A)</w:t>
            </w:r>
          </w:p>
        </w:tc>
        <w:tc>
          <w:tcPr>
            <w:tcW w:type="dxa" w:w="1440"/>
          </w:tcPr>
          <w:p>
            <w:r>
              <w:rPr>
                <w:rFonts w:ascii="Calibri" w:hAnsi="Calibri"/>
                <w:sz w:val="22"/>
              </w:rPr>
              <w:t>766 shares</w:t>
            </w:r>
          </w:p>
        </w:tc>
        <w:tc>
          <w:tcPr>
            <w:tcW w:type="dxa" w:w="1440"/>
          </w:tcPr>
          <w:p>
            <w:r>
              <w:rPr>
                <w:rFonts w:ascii="Calibri" w:hAnsi="Calibri"/>
                <w:sz w:val="22"/>
              </w:rPr>
              <w:t>June 1, 2026</w:t>
            </w:r>
          </w:p>
        </w:tc>
        <w:tc>
          <w:tcPr>
            <w:tcW w:type="dxa" w:w="1440"/>
          </w:tcPr>
          <w:p>
            <w:r>
              <w:rPr>
                <w:rFonts w:ascii="Calibri" w:hAnsi="Calibri"/>
                <w:sz w:val="22"/>
              </w:rPr>
              <w:t>Annual director equity compensation grant. Routine; not a market signal.</w:t>
            </w:r>
          </w:p>
        </w:tc>
      </w:tr>
      <w:tr>
        <w:tc>
          <w:tcPr>
            <w:tcW w:type="dxa" w:w="1440"/>
          </w:tcPr>
          <w:p>
            <w:r>
              <w:rPr>
                <w:rFonts w:ascii="Calibri" w:hAnsi="Calibri"/>
                <w:sz w:val="22"/>
              </w:rPr>
              <w:t>Lauri M. Shanahan</w:t>
            </w:r>
          </w:p>
        </w:tc>
        <w:tc>
          <w:tcPr>
            <w:tcW w:type="dxa" w:w="1440"/>
          </w:tcPr>
          <w:p>
            <w:r>
              <w:rPr>
                <w:rFonts w:ascii="Calibri" w:hAnsi="Calibri"/>
                <w:sz w:val="22"/>
              </w:rPr>
              <w:t>Director</w:t>
            </w:r>
          </w:p>
        </w:tc>
        <w:tc>
          <w:tcPr>
            <w:tcW w:type="dxa" w:w="1440"/>
          </w:tcPr>
          <w:p>
            <w:r>
              <w:rPr>
                <w:rFonts w:ascii="Calibri" w:hAnsi="Calibri"/>
                <w:sz w:val="22"/>
              </w:rPr>
              <w:t>Director Equity Grant (A)</w:t>
            </w:r>
          </w:p>
        </w:tc>
        <w:tc>
          <w:tcPr>
            <w:tcW w:type="dxa" w:w="1440"/>
          </w:tcPr>
          <w:p>
            <w:r>
              <w:rPr>
                <w:rFonts w:ascii="Calibri" w:hAnsi="Calibri"/>
                <w:sz w:val="22"/>
              </w:rPr>
              <w:t>448 shares</w:t>
            </w:r>
          </w:p>
        </w:tc>
        <w:tc>
          <w:tcPr>
            <w:tcW w:type="dxa" w:w="1440"/>
          </w:tcPr>
          <w:p>
            <w:r>
              <w:rPr>
                <w:rFonts w:ascii="Calibri" w:hAnsi="Calibri"/>
                <w:sz w:val="22"/>
              </w:rPr>
              <w:t>June 1, 2026</w:t>
            </w:r>
          </w:p>
        </w:tc>
        <w:tc>
          <w:tcPr>
            <w:tcW w:type="dxa" w:w="1440"/>
          </w:tcPr>
          <w:p>
            <w:r>
              <w:rPr>
                <w:rFonts w:ascii="Calibri" w:hAnsi="Calibri"/>
                <w:sz w:val="22"/>
              </w:rPr>
              <w:t>Annual director equity compensation grant. Routine; not a market signal.</w:t>
            </w:r>
          </w:p>
        </w:tc>
      </w:tr>
      <w:tr>
        <w:tc>
          <w:tcPr>
            <w:tcW w:type="dxa" w:w="1440"/>
          </w:tcPr>
          <w:p>
            <w:r>
              <w:rPr>
                <w:rFonts w:ascii="Calibri" w:hAnsi="Calibri"/>
                <w:sz w:val="22"/>
              </w:rPr>
              <w:t>Bonita C. Stewart</w:t>
            </w:r>
          </w:p>
        </w:tc>
        <w:tc>
          <w:tcPr>
            <w:tcW w:type="dxa" w:w="1440"/>
          </w:tcPr>
          <w:p>
            <w:r>
              <w:rPr>
                <w:rFonts w:ascii="Calibri" w:hAnsi="Calibri"/>
                <w:sz w:val="22"/>
              </w:rPr>
              <w:t>Director</w:t>
            </w:r>
          </w:p>
        </w:tc>
        <w:tc>
          <w:tcPr>
            <w:tcW w:type="dxa" w:w="1440"/>
          </w:tcPr>
          <w:p>
            <w:r>
              <w:rPr>
                <w:rFonts w:ascii="Calibri" w:hAnsi="Calibri"/>
                <w:sz w:val="22"/>
              </w:rPr>
              <w:t>Director Equity Grant (A)</w:t>
            </w:r>
          </w:p>
        </w:tc>
        <w:tc>
          <w:tcPr>
            <w:tcW w:type="dxa" w:w="1440"/>
          </w:tcPr>
          <w:p>
            <w:r>
              <w:rPr>
                <w:rFonts w:ascii="Calibri" w:hAnsi="Calibri"/>
                <w:sz w:val="22"/>
              </w:rPr>
              <w:t>448 shares</w:t>
            </w:r>
          </w:p>
        </w:tc>
        <w:tc>
          <w:tcPr>
            <w:tcW w:type="dxa" w:w="1440"/>
          </w:tcPr>
          <w:p>
            <w:r>
              <w:rPr>
                <w:rFonts w:ascii="Calibri" w:hAnsi="Calibri"/>
                <w:sz w:val="22"/>
              </w:rPr>
              <w:t>June 1, 2026</w:t>
            </w:r>
          </w:p>
        </w:tc>
        <w:tc>
          <w:tcPr>
            <w:tcW w:type="dxa" w:w="1440"/>
          </w:tcPr>
          <w:p>
            <w:r>
              <w:rPr>
                <w:rFonts w:ascii="Calibri" w:hAnsi="Calibri"/>
                <w:sz w:val="22"/>
              </w:rPr>
              <w:t>Annual director equity compensation grant. Routine; not a market signal.</w:t>
            </w:r>
          </w:p>
        </w:tc>
      </w:tr>
    </w:tbl>
    <w:p>
      <w:r>
        <w:rPr>
          <w:rFonts w:ascii="Calibri" w:hAnsi="Calibri"/>
          <w:b/>
          <w:color w:val="525866"/>
          <w:sz w:val="22"/>
        </w:rPr>
        <w:t xml:space="preserve">Summary: </w:t>
      </w:r>
      <w:r>
        <w:rPr>
          <w:rFonts w:ascii="Calibri" w:hAnsi="Calibri"/>
          <w:color w:val="525866"/>
          <w:sz w:val="22"/>
        </w:rPr>
        <w:t>All insider transactions since the May 21 earnings print are either (1) tax withholding on RSU vesting (Form 4 code F) — obligation-driven, not discretionary — or (2) annual director equity compensation grants (Form 4 code A). There are no open-market buys (code P) or discretionary sells (code S) in the period. The absence of any discretionary selling by the CEO, CFO, or brand presidents heading into Q1 earnings is a mild positive signal. The CEO (Caroti) retains 321,934 shares and the CFO (Fasching) retains 144,718 shares post-withholding, indicating continued meaningful alignment with shareholders.</w:t>
      </w:r>
    </w:p>
    <w:p>
      <w:r>
        <w:rPr>
          <w:rFonts w:ascii="Calibri" w:hAnsi="Calibri"/>
          <w:i/>
          <w:color w:val="525866"/>
          <w:sz w:val="22"/>
        </w:rPr>
        <w:t>Source: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