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Deckers Brands (DECK) — Q1 FY2027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Deckers Brands (DECK)</w:t>
            </w:r>
          </w:p>
        </w:tc>
      </w:tr>
      <w:tr>
        <w:tc>
          <w:tcPr>
            <w:tcW w:type="dxa" w:w="4320"/>
          </w:tcPr>
          <w:p>
            <w:r>
              <w:rPr>
                <w:rFonts w:ascii="Calibri" w:hAnsi="Calibri"/>
                <w:b/>
                <w:sz w:val="22"/>
              </w:rPr>
              <w:t>Reporting Period</w:t>
            </w:r>
          </w:p>
        </w:tc>
        <w:tc>
          <w:tcPr>
            <w:tcW w:type="dxa" w:w="4320"/>
          </w:tcPr>
          <w:p>
            <w:r>
              <w:rPr>
                <w:rFonts w:ascii="Calibri" w:hAnsi="Calibri"/>
                <w:sz w:val="22"/>
              </w:rPr>
              <w:t>Q1 FY2027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23, 2026 — After Market Close (4:30 PM ET call)</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r>
        <w:tc>
          <w:tcPr>
            <w:tcW w:type="dxa" w:w="4320"/>
          </w:tcPr>
          <w:p>
            <w:r>
              <w:rPr>
                <w:rFonts w:ascii="Calibri" w:hAnsi="Calibri"/>
                <w:b/>
                <w:sz w:val="22"/>
              </w:rPr>
              <w:t>Last Earnings</w:t>
            </w:r>
          </w:p>
        </w:tc>
        <w:tc>
          <w:tcPr>
            <w:tcW w:type="dxa" w:w="4320"/>
          </w:tcPr>
          <w:p>
            <w:r>
              <w:rPr>
                <w:rFonts w:ascii="Calibri" w:hAnsi="Calibri"/>
                <w:sz w:val="22"/>
              </w:rPr>
              <w:t>May 21, 2026 (Q4 FY2026)</w:t>
            </w:r>
          </w:p>
        </w:tc>
      </w:tr>
      <w:tr>
        <w:tc>
          <w:tcPr>
            <w:tcW w:type="dxa" w:w="4320"/>
          </w:tcPr>
          <w:p>
            <w:r>
              <w:rPr>
                <w:rFonts w:ascii="Calibri" w:hAnsi="Calibri"/>
                <w:b/>
                <w:sz w:val="22"/>
              </w:rPr>
              <w:t>Top 2 KPIs</w:t>
            </w:r>
          </w:p>
        </w:tc>
        <w:tc>
          <w:tcPr>
            <w:tcW w:type="dxa" w:w="4320"/>
          </w:tcPr>
          <w:p>
            <w:r>
              <w:rPr>
                <w:rFonts w:ascii="Calibri" w:hAnsi="Calibri"/>
                <w:sz w:val="22"/>
              </w:rPr>
              <w:t>HOKA Revenue | Total Revenue (with EPS as primary valuation KPI)</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sits at a manageable bar with Q1 FY2027 EPS guided to $0.82–$0.87 vs. current consensus of ~$0.88, and the single biggest swing factor is whether HOKA wholesale timing headwinds (EMEA warehouse lap, APAC distributor delays) are fully understood by the Street or create a negative surprise on the top line.</w:t>
      </w:r>
    </w:p>
    <w:p>
      <w:r>
        <w:rPr>
          <w:rFonts w:ascii="Calibri" w:hAnsi="Calibri"/>
          <w:color w:val="525866"/>
          <w:sz w:val="22"/>
        </w:rPr>
        <w:t xml:space="preserve">Heading into the Q1 FY2027 print, Deckers enters with a bar that is achievable but not easy. Management guided Q1 revenue to approximately +5% YoY (implying ~$1.01B, the company's first-ever $1B Q1), with EPS of $0.82–$0.87 — current consensus of ~$0.88 sits modestly above the midpoint, leaving limited room for a clean beat without gross margin outperformance. The guidance tone from the May 21 earnings call was notably confident: CFO Steve Fasching described the full-year framework as "not a conservative guide" and cited "positive trends across the globe," a meaningful departure from DECK's historically cautious posture. Estimate revisions have been essentially flat since the post-print baseline (Q1 FY2027 EPS consensus moved from $0.869 at the May 29 baseline to $0.875 currently), suggesting the Street has largely digested guidance without adding meaningful cushion or risk. The stock has underperformed since last earnings — DECK is trading around $102–$103, roughly flat to slightly below the May 21 close, while the S&amp;P 500 has been range-bound and XLY has drifted lower — and the NTM P/E has compressed from ~14.9x six months ago to ~13.4x today, meaning the stock is not pricing in a beat. The key wildcard is the </w:t>
      </w:r>
      <w:r>
        <w:rPr>
          <w:rFonts w:ascii="Calibri" w:hAnsi="Calibri"/>
          <w:b/>
          <w:color w:val="525866"/>
          <w:sz w:val="22"/>
        </w:rPr>
        <w:t>Clifton 11 launch in July</w:t>
      </w:r>
      <w:r>
        <w:rPr>
          <w:rFonts w:ascii="Calibri" w:hAnsi="Calibri"/>
          <w:color w:val="525866"/>
          <w:sz w:val="22"/>
        </w:rPr>
        <w:t>: management explicitly noted that Q1 wholesale shipments were intentionally reduced to clear the marketplace ahead of this launch, and if early sell-through data is strong, it could reset the growth narrative for the back half of FY2027.</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modestly high bar on EPS (above guidance midpoint) but a reasonable bar on revenue; HOKA revenue is the bigger swing factor given known wholesale timing headwinds that management flagged explicitly on the Q4 call.</w:t>
      </w:r>
    </w:p>
    <w:p>
      <w:pPr>
        <w:pStyle w:val="Heading3"/>
      </w:pPr>
      <w:r>
        <w:rPr>
          <w:rFonts w:ascii="Calibri" w:hAnsi="Calibri"/>
          <w:b/>
          <w:color w:val="3B4259"/>
          <w:sz w:val="24"/>
        </w:rPr>
        <w:t>Table 1 — Q1 FY2027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Q4 FY2026 Actual (Last Qtr)</w:t>
            </w:r>
          </w:p>
        </w:tc>
        <w:tc>
          <w:tcPr>
            <w:tcW w:type="dxa" w:w="1234"/>
            <w:shd w:val="clear" w:color="auto" w:fill="3B4259"/>
          </w:tcPr>
          <w:p>
            <w:r>
              <w:rPr>
                <w:rFonts w:ascii="Calibri" w:hAnsi="Calibri"/>
                <w:b/>
                <w:color w:val="FFFFFF"/>
                <w:sz w:val="22"/>
              </w:rPr>
              <w:t>Q1 FY2026 Actual (Prior Year)</w:t>
            </w:r>
          </w:p>
        </w:tc>
        <w:tc>
          <w:tcPr>
            <w:tcW w:type="dxa" w:w="1234"/>
            <w:shd w:val="clear" w:color="auto" w:fill="3B4259"/>
          </w:tcPr>
          <w:p>
            <w:r>
              <w:rPr>
                <w:rFonts w:ascii="Calibri" w:hAnsi="Calibri"/>
                <w:b/>
                <w:color w:val="FFFFFF"/>
                <w:sz w:val="22"/>
              </w:rPr>
              <w:t>Q1 FY2027 Consensus Estimate</w:t>
            </w:r>
          </w:p>
        </w:tc>
        <w:tc>
          <w:tcPr>
            <w:tcW w:type="dxa" w:w="1234"/>
            <w:shd w:val="clear" w:color="auto" w:fill="3B4259"/>
          </w:tcPr>
          <w:p>
            <w:r>
              <w:rPr>
                <w:rFonts w:ascii="Calibri" w:hAnsi="Calibri"/>
                <w:b/>
                <w:color w:val="FFFFFF"/>
                <w:sz w:val="22"/>
              </w:rPr>
              <w:t>YoY Change (vs. Q1 FY2026)</w:t>
            </w:r>
          </w:p>
        </w:tc>
        <w:tc>
          <w:tcPr>
            <w:tcW w:type="dxa" w:w="1234"/>
            <w:shd w:val="clear" w:color="auto" w:fill="3B4259"/>
          </w:tcPr>
          <w:p>
            <w:r>
              <w:rPr>
                <w:rFonts w:ascii="Calibri" w:hAnsi="Calibri"/>
                <w:b/>
                <w:color w:val="FFFFFF"/>
                <w:sz w:val="22"/>
              </w:rPr>
              <w:t>Guidance (Q1 FY2027)</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($M)</w:t>
            </w:r>
          </w:p>
        </w:tc>
        <w:tc>
          <w:tcPr>
            <w:tcW w:type="dxa" w:w="1234"/>
          </w:tcPr>
          <w:p>
            <w:r>
              <w:rPr>
                <w:rFonts w:ascii="Calibri" w:hAnsi="Calibri"/>
                <w:sz w:val="22"/>
              </w:rPr>
              <w:t>$1,119.4M</w:t>
            </w:r>
          </w:p>
        </w:tc>
        <w:tc>
          <w:tcPr>
            <w:tcW w:type="dxa" w:w="1234"/>
          </w:tcPr>
          <w:p>
            <w:r>
              <w:rPr>
                <w:rFonts w:ascii="Calibri" w:hAnsi="Calibri"/>
                <w:sz w:val="22"/>
              </w:rPr>
              <w:t>$964.5M</w:t>
            </w:r>
          </w:p>
        </w:tc>
        <w:tc>
          <w:tcPr>
            <w:tcW w:type="dxa" w:w="1234"/>
          </w:tcPr>
          <w:p>
            <w:r>
              <w:rPr>
                <w:rFonts w:ascii="Calibri" w:hAnsi="Calibri"/>
                <w:sz w:val="22"/>
              </w:rPr>
              <w:t>$1,018.1M</w:t>
            </w:r>
          </w:p>
        </w:tc>
        <w:tc>
          <w:tcPr>
            <w:tcW w:type="dxa" w:w="1234"/>
          </w:tcPr>
          <w:p>
            <w:r>
              <w:rPr>
                <w:rFonts w:ascii="Calibri" w:hAnsi="Calibri"/>
                <w:sz w:val="22"/>
              </w:rPr>
              <w:t>+5.6% YoY</w:t>
            </w:r>
          </w:p>
        </w:tc>
        <w:tc>
          <w:tcPr>
            <w:tcW w:type="dxa" w:w="1234"/>
          </w:tcPr>
          <w:p>
            <w:r>
              <w:rPr>
                <w:rFonts w:ascii="Calibri" w:hAnsi="Calibri"/>
                <w:sz w:val="22"/>
              </w:rPr>
              <w:t>~+5% YoY (~$1.01–$1.02B implied)</w:t>
            </w:r>
          </w:p>
        </w:tc>
        <w:tc>
          <w:tcPr>
            <w:tcW w:type="dxa" w:w="1234"/>
          </w:tcPr>
          <w:p>
            <w:r>
              <w:rPr>
                <w:rFonts w:ascii="Calibri" w:hAnsi="Calibri"/>
                <w:sz w:val="22"/>
              </w:rPr>
              <w:t>~+0.5% above midpoint</w:t>
            </w:r>
          </w:p>
        </w:tc>
      </w:tr>
      <w:tr>
        <w:tc>
          <w:tcPr>
            <w:tcW w:type="dxa" w:w="1234"/>
          </w:tcPr>
          <w:p>
            <w:r>
              <w:rPr>
                <w:rFonts w:ascii="Calibri" w:hAnsi="Calibri"/>
                <w:sz w:val="22"/>
              </w:rPr>
              <w:t>HOKA Revenue ($M)</w:t>
            </w:r>
          </w:p>
        </w:tc>
        <w:tc>
          <w:tcPr>
            <w:tcW w:type="dxa" w:w="1234"/>
          </w:tcPr>
          <w:p>
            <w:r>
              <w:rPr>
                <w:rFonts w:ascii="Calibri" w:hAnsi="Calibri"/>
                <w:sz w:val="22"/>
              </w:rPr>
              <w:t>$671.2M</w:t>
            </w:r>
          </w:p>
        </w:tc>
        <w:tc>
          <w:tcPr>
            <w:tcW w:type="dxa" w:w="1234"/>
          </w:tcPr>
          <w:p>
            <w:r>
              <w:rPr>
                <w:rFonts w:ascii="Calibri" w:hAnsi="Calibri"/>
                <w:sz w:val="22"/>
              </w:rPr>
              <w:t>$653.1M</w:t>
            </w:r>
          </w:p>
        </w:tc>
        <w:tc>
          <w:tcPr>
            <w:tcW w:type="dxa" w:w="1234"/>
          </w:tcPr>
          <w:p>
            <w:r>
              <w:rPr>
                <w:rFonts w:ascii="Calibri" w:hAnsi="Calibri"/>
                <w:sz w:val="22"/>
              </w:rPr>
              <w:t>$704.8M</w:t>
            </w:r>
          </w:p>
        </w:tc>
        <w:tc>
          <w:tcPr>
            <w:tcW w:type="dxa" w:w="1234"/>
          </w:tcPr>
          <w:p>
            <w:r>
              <w:rPr>
                <w:rFonts w:ascii="Calibri" w:hAnsi="Calibri"/>
                <w:sz w:val="22"/>
              </w:rPr>
              <w:t>+7.9% YoY</w:t>
            </w:r>
          </w:p>
        </w:tc>
        <w:tc>
          <w:tcPr>
            <w:tcW w:type="dxa" w:w="1234"/>
          </w:tcPr>
          <w:p>
            <w:r>
              <w:rPr>
                <w:rFonts w:ascii="Calibri" w:hAnsi="Calibri"/>
                <w:sz w:val="22"/>
              </w:rPr>
              <w:t>High single-digit growth</w:t>
            </w:r>
          </w:p>
        </w:tc>
        <w:tc>
          <w:tcPr>
            <w:tcW w:type="dxa" w:w="1234"/>
          </w:tcPr>
          <w:p>
            <w:r>
              <w:rPr>
                <w:rFonts w:ascii="Calibri" w:hAnsi="Calibri"/>
                <w:sz w:val="22"/>
              </w:rPr>
              <w:t>~In line with guidance</w:t>
            </w:r>
          </w:p>
        </w:tc>
      </w:tr>
      <w:tr>
        <w:tc>
          <w:tcPr>
            <w:tcW w:type="dxa" w:w="1234"/>
          </w:tcPr>
          <w:p>
            <w:r>
              <w:rPr>
                <w:rFonts w:ascii="Calibri" w:hAnsi="Calibri"/>
                <w:sz w:val="22"/>
              </w:rPr>
              <w:t>UGG Revenue ($M)</w:t>
            </w:r>
          </w:p>
        </w:tc>
        <w:tc>
          <w:tcPr>
            <w:tcW w:type="dxa" w:w="1234"/>
          </w:tcPr>
          <w:p>
            <w:r>
              <w:rPr>
                <w:rFonts w:ascii="Calibri" w:hAnsi="Calibri"/>
                <w:sz w:val="22"/>
              </w:rPr>
              <w:t>$408.6M</w:t>
            </w:r>
          </w:p>
        </w:tc>
        <w:tc>
          <w:tcPr>
            <w:tcW w:type="dxa" w:w="1234"/>
          </w:tcPr>
          <w:p>
            <w:r>
              <w:rPr>
                <w:rFonts w:ascii="Calibri" w:hAnsi="Calibri"/>
                <w:sz w:val="22"/>
              </w:rPr>
              <w:t>$265.1M</w:t>
            </w:r>
          </w:p>
        </w:tc>
        <w:tc>
          <w:tcPr>
            <w:tcW w:type="dxa" w:w="1234"/>
          </w:tcPr>
          <w:p>
            <w:r>
              <w:rPr>
                <w:rFonts w:ascii="Calibri" w:hAnsi="Calibri"/>
                <w:sz w:val="22"/>
              </w:rPr>
              <w:t>$276.9M</w:t>
            </w:r>
          </w:p>
        </w:tc>
        <w:tc>
          <w:tcPr>
            <w:tcW w:type="dxa" w:w="1234"/>
          </w:tcPr>
          <w:p>
            <w:r>
              <w:rPr>
                <w:rFonts w:ascii="Calibri" w:hAnsi="Calibri"/>
                <w:sz w:val="22"/>
              </w:rPr>
              <w:t>+4.5% YoY</w:t>
            </w:r>
          </w:p>
        </w:tc>
        <w:tc>
          <w:tcPr>
            <w:tcW w:type="dxa" w:w="1234"/>
          </w:tcPr>
          <w:p>
            <w:r>
              <w:rPr>
                <w:rFonts w:ascii="Calibri" w:hAnsi="Calibri"/>
                <w:sz w:val="22"/>
              </w:rPr>
              <w:t>Mid-single-digit growth</w:t>
            </w:r>
          </w:p>
        </w:tc>
        <w:tc>
          <w:tcPr>
            <w:tcW w:type="dxa" w:w="1234"/>
          </w:tcPr>
          <w:p>
            <w:r>
              <w:rPr>
                <w:rFonts w:ascii="Calibri" w:hAnsi="Calibri"/>
                <w:sz w:val="22"/>
              </w:rPr>
              <w:t>~In line with guidance</w:t>
            </w:r>
          </w:p>
        </w:tc>
      </w:tr>
      <w:tr>
        <w:tc>
          <w:tcPr>
            <w:tcW w:type="dxa" w:w="1234"/>
          </w:tcPr>
          <w:p>
            <w:r>
              <w:rPr>
                <w:rFonts w:ascii="Calibri" w:hAnsi="Calibri"/>
                <w:sz w:val="22"/>
              </w:rPr>
              <w:t>Gross Profit ($M)</w:t>
            </w:r>
          </w:p>
        </w:tc>
        <w:tc>
          <w:tcPr>
            <w:tcW w:type="dxa" w:w="1234"/>
          </w:tcPr>
          <w:p>
            <w:r>
              <w:rPr>
                <w:rFonts w:ascii="Calibri" w:hAnsi="Calibri"/>
                <w:sz w:val="22"/>
              </w:rPr>
              <w:t>$644.6M (57.6% margin)</w:t>
            </w:r>
          </w:p>
        </w:tc>
        <w:tc>
          <w:tcPr>
            <w:tcW w:type="dxa" w:w="1234"/>
          </w:tcPr>
          <w:p>
            <w:r>
              <w:rPr>
                <w:rFonts w:ascii="Calibri" w:hAnsi="Calibri"/>
                <w:sz w:val="22"/>
              </w:rPr>
              <w:t>$537.9M (55.8% margin)</w:t>
            </w:r>
          </w:p>
        </w:tc>
        <w:tc>
          <w:tcPr>
            <w:tcW w:type="dxa" w:w="1234"/>
          </w:tcPr>
          <w:p>
            <w:r>
              <w:rPr>
                <w:rFonts w:ascii="Calibri" w:hAnsi="Calibri"/>
                <w:sz w:val="22"/>
              </w:rPr>
              <w:t>$554.3M (~54.5% implied)</w:t>
            </w:r>
          </w:p>
        </w:tc>
        <w:tc>
          <w:tcPr>
            <w:tcW w:type="dxa" w:w="1234"/>
          </w:tcPr>
          <w:p>
            <w:r>
              <w:rPr>
                <w:rFonts w:ascii="Calibri" w:hAnsi="Calibri"/>
                <w:sz w:val="22"/>
              </w:rPr>
              <w:t>~−90bps YoY (margin)</w:t>
            </w:r>
          </w:p>
        </w:tc>
        <w:tc>
          <w:tcPr>
            <w:tcW w:type="dxa" w:w="1234"/>
          </w:tcPr>
          <w:p>
            <w:r>
              <w:rPr>
                <w:rFonts w:ascii="Calibri" w:hAnsi="Calibri"/>
                <w:sz w:val="22"/>
              </w:rPr>
              <w:t>Down YoY (tariff wraparound + freight)</w:t>
            </w:r>
          </w:p>
        </w:tc>
        <w:tc>
          <w:tcPr>
            <w:tcW w:type="dxa" w:w="1234"/>
          </w:tcPr>
          <w:p>
            <w:r>
              <w:rPr>
                <w:rFonts w:ascii="Calibri" w:hAnsi="Calibri"/>
                <w:sz w:val="22"/>
              </w:rPr>
              <w:t>~In line</w:t>
            </w:r>
          </w:p>
        </w:tc>
      </w:tr>
      <w:tr>
        <w:tc>
          <w:tcPr>
            <w:tcW w:type="dxa" w:w="1234"/>
          </w:tcPr>
          <w:p>
            <w:r>
              <w:rPr>
                <w:rFonts w:ascii="Calibri" w:hAnsi="Calibri"/>
                <w:sz w:val="22"/>
              </w:rPr>
              <w:t>Operating Income ($M)</w:t>
            </w:r>
          </w:p>
        </w:tc>
        <w:tc>
          <w:tcPr>
            <w:tcW w:type="dxa" w:w="1234"/>
          </w:tcPr>
          <w:p>
            <w:r>
              <w:rPr>
                <w:rFonts w:ascii="Calibri" w:hAnsi="Calibri"/>
                <w:sz w:val="22"/>
              </w:rPr>
              <w:t>$156.7M</w:t>
            </w:r>
          </w:p>
        </w:tc>
        <w:tc>
          <w:tcPr>
            <w:tcW w:type="dxa" w:w="1234"/>
          </w:tcPr>
          <w:p>
            <w:r>
              <w:rPr>
                <w:rFonts w:ascii="Calibri" w:hAnsi="Calibri"/>
                <w:sz w:val="22"/>
              </w:rPr>
              <w:t>$165.3M</w:t>
            </w:r>
          </w:p>
        </w:tc>
        <w:tc>
          <w:tcPr>
            <w:tcW w:type="dxa" w:w="1234"/>
          </w:tcPr>
          <w:p>
            <w:r>
              <w:rPr>
                <w:rFonts w:ascii="Calibri" w:hAnsi="Calibri"/>
                <w:sz w:val="22"/>
              </w:rPr>
              <w:t>$144.4M</w:t>
            </w:r>
          </w:p>
        </w:tc>
        <w:tc>
          <w:tcPr>
            <w:tcW w:type="dxa" w:w="1234"/>
          </w:tcPr>
          <w:p>
            <w:r>
              <w:rPr>
                <w:rFonts w:ascii="Calibri" w:hAnsi="Calibri"/>
                <w:sz w:val="22"/>
              </w:rPr>
              <w:t>−12.6% YoY</w:t>
            </w:r>
          </w:p>
        </w:tc>
        <w:tc>
          <w:tcPr>
            <w:tcW w:type="dxa" w:w="1234"/>
          </w:tcPr>
          <w:p>
            <w:r>
              <w:rPr>
                <w:rFonts w:ascii="Calibri" w:hAnsi="Calibri"/>
                <w:sz w:val="22"/>
              </w:rPr>
              <w:t>SG&amp;A growing ~2x revenue rate</w:t>
            </w:r>
          </w:p>
        </w:tc>
        <w:tc>
          <w:tcPr>
            <w:tcW w:type="dxa" w:w="1234"/>
          </w:tcPr>
          <w:p>
            <w:r>
              <w:rPr>
                <w:rFonts w:ascii="Calibri" w:hAnsi="Calibri"/>
                <w:sz w:val="22"/>
              </w:rPr>
              <w:t>~In line</w:t>
            </w:r>
          </w:p>
        </w:tc>
      </w:tr>
      <w:tr>
        <w:tc>
          <w:tcPr>
            <w:tcW w:type="dxa" w:w="1234"/>
          </w:tcPr>
          <w:p>
            <w:r>
              <w:rPr>
                <w:rFonts w:ascii="Calibri" w:hAnsi="Calibri"/>
                <w:sz w:val="22"/>
              </w:rPr>
              <w:t>EPS — Diluted Operating ($)</w:t>
            </w:r>
          </w:p>
        </w:tc>
        <w:tc>
          <w:tcPr>
            <w:tcW w:type="dxa" w:w="1234"/>
          </w:tcPr>
          <w:p>
            <w:r>
              <w:rPr>
                <w:rFonts w:ascii="Calibri" w:hAnsi="Calibri"/>
                <w:sz w:val="22"/>
              </w:rPr>
              <w:t>$0.96</w:t>
            </w:r>
          </w:p>
        </w:tc>
        <w:tc>
          <w:tcPr>
            <w:tcW w:type="dxa" w:w="1234"/>
          </w:tcPr>
          <w:p>
            <w:r>
              <w:rPr>
                <w:rFonts w:ascii="Calibri" w:hAnsi="Calibri"/>
                <w:sz w:val="22"/>
              </w:rPr>
              <w:t>$0.93</w:t>
            </w:r>
          </w:p>
        </w:tc>
        <w:tc>
          <w:tcPr>
            <w:tcW w:type="dxa" w:w="1234"/>
          </w:tcPr>
          <w:p>
            <w:r>
              <w:rPr>
                <w:rFonts w:ascii="Calibri" w:hAnsi="Calibri"/>
                <w:sz w:val="22"/>
              </w:rPr>
              <w:t>$0.88</w:t>
            </w:r>
          </w:p>
        </w:tc>
        <w:tc>
          <w:tcPr>
            <w:tcW w:type="dxa" w:w="1234"/>
          </w:tcPr>
          <w:p>
            <w:r>
              <w:rPr>
                <w:rFonts w:ascii="Calibri" w:hAnsi="Calibri"/>
                <w:sz w:val="22"/>
              </w:rPr>
              <w:t>−5.4% YoY</w:t>
            </w:r>
          </w:p>
        </w:tc>
        <w:tc>
          <w:tcPr>
            <w:tcW w:type="dxa" w:w="1234"/>
          </w:tcPr>
          <w:p>
            <w:r>
              <w:rPr>
                <w:rFonts w:ascii="Calibri" w:hAnsi="Calibri"/>
                <w:sz w:val="22"/>
              </w:rPr>
              <w:t>$0.82–$0.87</w:t>
            </w:r>
          </w:p>
        </w:tc>
        <w:tc>
          <w:tcPr>
            <w:tcW w:type="dxa" w:w="1234"/>
          </w:tcPr>
          <w:p>
            <w:r>
              <w:rPr>
                <w:rFonts w:ascii="Calibri" w:hAnsi="Calibri"/>
                <w:sz w:val="22"/>
              </w:rPr>
              <w:t>+~$0.03 above midpoint (+3.5%)</w:t>
            </w:r>
          </w:p>
        </w:tc>
      </w:tr>
    </w:tbl>
    <w:p>
      <w:r>
        <w:rPr>
          <w:rFonts w:ascii="Calibri" w:hAnsi="Calibri"/>
          <w:i/>
          <w:color w:val="525866"/>
          <w:sz w:val="22"/>
        </w:rPr>
        <w:t xml:space="preserve">Sources: </w:t>
      </w:r>
      <w:r>
        <w:rPr>
          <w:rFonts w:ascii="Calibri" w:hAnsi="Calibri"/>
          <w:i/>
          <w:color w:val="525866"/>
          <w:sz w:val="22"/>
        </w:rPr>
        <w:t>Total Revenue, HOKA Revenue, UGG Revenue, Gross Profit, Operating Income, and EPS figures sourced from Visible Alpha Consensus and Actuals Data (https://insights.visiblealpha.com/mex/DECK/NMV/IS and /RV). Q4 FY2026 actuals and Q1 FY2026 actuals from Visible Alpha. Q1 FY2027 consensus as of July 22, 2026. Q1 FY2027 guidance from DECK Q4 FY2026 Earnings Call transcript (May 21, 2026) and Earnings Release.</w:t>
      </w:r>
    </w:p>
    <w:p>
      <w:pPr>
        <w:pStyle w:val="Heading3"/>
      </w:pPr>
      <w:r>
        <w:rPr>
          <w:rFonts w:ascii="Calibri" w:hAnsi="Calibri"/>
          <w:b/>
          <w:color w:val="3B4259"/>
          <w:sz w:val="24"/>
        </w:rPr>
        <w:t>Table 2 — Beat / Miss History (Last 8 Quarters, Top 2 KPIs)</w:t>
      </w:r>
    </w:p>
    <w:p>
      <w:r>
        <w:rPr>
          <w:rFonts w:ascii="Calibri" w:hAnsi="Calibri"/>
          <w:b/>
          <w:color w:val="525866"/>
          <w:sz w:val="22"/>
        </w:rPr>
        <w:t>KPI 1: Total Revenue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Q4 FY2026 (Mar 2026)</w:t>
            </w:r>
          </w:p>
        </w:tc>
        <w:tc>
          <w:tcPr>
            <w:tcW w:type="dxa" w:w="1728"/>
          </w:tcPr>
          <w:p>
            <w:r>
              <w:rPr>
                <w:rFonts w:ascii="Calibri" w:hAnsi="Calibri"/>
                <w:sz w:val="22"/>
              </w:rPr>
              <w:t>$1,119.4</w:t>
            </w:r>
          </w:p>
        </w:tc>
        <w:tc>
          <w:tcPr>
            <w:tcW w:type="dxa" w:w="1728"/>
          </w:tcPr>
          <w:p>
            <w:r>
              <w:rPr>
                <w:rFonts w:ascii="Calibri" w:hAnsi="Calibri"/>
                <w:sz w:val="22"/>
              </w:rPr>
              <w:t>$997.8</w:t>
            </w:r>
          </w:p>
        </w:tc>
        <w:tc>
          <w:tcPr>
            <w:tcW w:type="dxa" w:w="1728"/>
          </w:tcPr>
          <w:p>
            <w:r>
              <w:rPr>
                <w:rFonts w:ascii="Calibri" w:hAnsi="Calibri"/>
                <w:b/>
                <w:color w:val="30A46C"/>
                <w:sz w:val="22"/>
              </w:rPr>
              <w:t>+12.2%</w:t>
            </w:r>
          </w:p>
        </w:tc>
        <w:tc>
          <w:tcPr>
            <w:tcW w:type="dxa" w:w="1728"/>
          </w:tcPr>
          <w:p>
            <w:r>
              <w:rPr>
                <w:rFonts w:ascii="Calibri" w:hAnsi="Calibri"/>
                <w:sz w:val="22"/>
              </w:rPr>
              <w:t>Beat</w:t>
            </w:r>
          </w:p>
        </w:tc>
      </w:tr>
      <w:tr>
        <w:tc>
          <w:tcPr>
            <w:tcW w:type="dxa" w:w="1728"/>
          </w:tcPr>
          <w:p>
            <w:r>
              <w:rPr>
                <w:rFonts w:ascii="Calibri" w:hAnsi="Calibri"/>
                <w:sz w:val="22"/>
              </w:rPr>
              <w:t>Q3 FY2026 (Dec 2025)</w:t>
            </w:r>
          </w:p>
        </w:tc>
        <w:tc>
          <w:tcPr>
            <w:tcW w:type="dxa" w:w="1728"/>
          </w:tcPr>
          <w:p>
            <w:r>
              <w:rPr>
                <w:rFonts w:ascii="Calibri" w:hAnsi="Calibri"/>
                <w:sz w:val="22"/>
              </w:rPr>
              <w:t>$1,957.6</w:t>
            </w:r>
          </w:p>
        </w:tc>
        <w:tc>
          <w:tcPr>
            <w:tcW w:type="dxa" w:w="1728"/>
          </w:tcPr>
          <w:p>
            <w:r>
              <w:rPr>
                <w:rFonts w:ascii="Calibri" w:hAnsi="Calibri"/>
                <w:sz w:val="22"/>
              </w:rPr>
              <w:t>$1,870.5</w:t>
            </w:r>
          </w:p>
        </w:tc>
        <w:tc>
          <w:tcPr>
            <w:tcW w:type="dxa" w:w="1728"/>
          </w:tcPr>
          <w:p>
            <w:r>
              <w:rPr>
                <w:rFonts w:ascii="Calibri" w:hAnsi="Calibri"/>
                <w:b/>
                <w:color w:val="30A46C"/>
                <w:sz w:val="22"/>
              </w:rPr>
              <w:t>+4.7%</w:t>
            </w:r>
          </w:p>
        </w:tc>
        <w:tc>
          <w:tcPr>
            <w:tcW w:type="dxa" w:w="1728"/>
          </w:tcPr>
          <w:p>
            <w:r>
              <w:rPr>
                <w:rFonts w:ascii="Calibri" w:hAnsi="Calibri"/>
                <w:sz w:val="22"/>
              </w:rPr>
              <w:t>Beat</w:t>
            </w:r>
          </w:p>
        </w:tc>
      </w:tr>
      <w:tr>
        <w:tc>
          <w:tcPr>
            <w:tcW w:type="dxa" w:w="1728"/>
          </w:tcPr>
          <w:p>
            <w:r>
              <w:rPr>
                <w:rFonts w:ascii="Calibri" w:hAnsi="Calibri"/>
                <w:sz w:val="22"/>
              </w:rPr>
              <w:t>Q2 FY2026 (Sep 2025)</w:t>
            </w:r>
          </w:p>
        </w:tc>
        <w:tc>
          <w:tcPr>
            <w:tcW w:type="dxa" w:w="1728"/>
          </w:tcPr>
          <w:p>
            <w:r>
              <w:rPr>
                <w:rFonts w:ascii="Calibri" w:hAnsi="Calibri"/>
                <w:sz w:val="22"/>
              </w:rPr>
              <w:t>$1,430.8</w:t>
            </w:r>
          </w:p>
        </w:tc>
        <w:tc>
          <w:tcPr>
            <w:tcW w:type="dxa" w:w="1728"/>
          </w:tcPr>
          <w:p>
            <w:r>
              <w:rPr>
                <w:rFonts w:ascii="Calibri" w:hAnsi="Calibri"/>
                <w:sz w:val="22"/>
              </w:rPr>
              <w:t>$1,419.7</w:t>
            </w:r>
          </w:p>
        </w:tc>
        <w:tc>
          <w:tcPr>
            <w:tcW w:type="dxa" w:w="1728"/>
          </w:tcPr>
          <w:p>
            <w:r>
              <w:rPr>
                <w:rFonts w:ascii="Calibri" w:hAnsi="Calibri"/>
                <w:b/>
                <w:color w:val="30A46C"/>
                <w:sz w:val="22"/>
              </w:rPr>
              <w:t>+0.8%</w:t>
            </w:r>
          </w:p>
        </w:tc>
        <w:tc>
          <w:tcPr>
            <w:tcW w:type="dxa" w:w="1728"/>
          </w:tcPr>
          <w:p>
            <w:r>
              <w:rPr>
                <w:rFonts w:ascii="Calibri" w:hAnsi="Calibri"/>
                <w:sz w:val="22"/>
              </w:rPr>
              <w:t>Beat</w:t>
            </w:r>
          </w:p>
        </w:tc>
      </w:tr>
      <w:tr>
        <w:tc>
          <w:tcPr>
            <w:tcW w:type="dxa" w:w="1728"/>
          </w:tcPr>
          <w:p>
            <w:r>
              <w:rPr>
                <w:rFonts w:ascii="Calibri" w:hAnsi="Calibri"/>
                <w:sz w:val="22"/>
              </w:rPr>
              <w:t>Q1 FY2026 (Jun 2025)</w:t>
            </w:r>
          </w:p>
        </w:tc>
        <w:tc>
          <w:tcPr>
            <w:tcW w:type="dxa" w:w="1728"/>
          </w:tcPr>
          <w:p>
            <w:r>
              <w:rPr>
                <w:rFonts w:ascii="Calibri" w:hAnsi="Calibri"/>
                <w:sz w:val="22"/>
              </w:rPr>
              <w:t>$964.5</w:t>
            </w:r>
          </w:p>
        </w:tc>
        <w:tc>
          <w:tcPr>
            <w:tcW w:type="dxa" w:w="1728"/>
          </w:tcPr>
          <w:p>
            <w:r>
              <w:rPr>
                <w:rFonts w:ascii="Calibri" w:hAnsi="Calibri"/>
                <w:sz w:val="22"/>
              </w:rPr>
              <w:t>$899.6</w:t>
            </w:r>
          </w:p>
        </w:tc>
        <w:tc>
          <w:tcPr>
            <w:tcW w:type="dxa" w:w="1728"/>
          </w:tcPr>
          <w:p>
            <w:r>
              <w:rPr>
                <w:rFonts w:ascii="Calibri" w:hAnsi="Calibri"/>
                <w:b/>
                <w:color w:val="30A46C"/>
                <w:sz w:val="22"/>
              </w:rPr>
              <w:t>+7.2%</w:t>
            </w:r>
          </w:p>
        </w:tc>
        <w:tc>
          <w:tcPr>
            <w:tcW w:type="dxa" w:w="1728"/>
          </w:tcPr>
          <w:p>
            <w:r>
              <w:rPr>
                <w:rFonts w:ascii="Calibri" w:hAnsi="Calibri"/>
                <w:sz w:val="22"/>
              </w:rPr>
              <w:t>Beat</w:t>
            </w:r>
          </w:p>
        </w:tc>
      </w:tr>
      <w:tr>
        <w:tc>
          <w:tcPr>
            <w:tcW w:type="dxa" w:w="1728"/>
          </w:tcPr>
          <w:p>
            <w:r>
              <w:rPr>
                <w:rFonts w:ascii="Calibri" w:hAnsi="Calibri"/>
                <w:sz w:val="22"/>
              </w:rPr>
              <w:t>Q4 FY2025 (Mar 2025)</w:t>
            </w:r>
          </w:p>
        </w:tc>
        <w:tc>
          <w:tcPr>
            <w:tcW w:type="dxa" w:w="1728"/>
          </w:tcPr>
          <w:p>
            <w:r>
              <w:rPr>
                <w:rFonts w:ascii="Calibri" w:hAnsi="Calibri"/>
                <w:sz w:val="22"/>
              </w:rPr>
              <w:t>$1,021.8</w:t>
            </w:r>
          </w:p>
        </w:tc>
        <w:tc>
          <w:tcPr>
            <w:tcW w:type="dxa" w:w="1728"/>
          </w:tcPr>
          <w:p>
            <w:r>
              <w:rPr>
                <w:rFonts w:ascii="Calibri" w:hAnsi="Calibri"/>
                <w:sz w:val="22"/>
              </w:rPr>
              <w:t>$997.8</w:t>
            </w:r>
          </w:p>
        </w:tc>
        <w:tc>
          <w:tcPr>
            <w:tcW w:type="dxa" w:w="1728"/>
          </w:tcPr>
          <w:p>
            <w:r>
              <w:rPr>
                <w:rFonts w:ascii="Calibri" w:hAnsi="Calibri"/>
                <w:b/>
                <w:color w:val="30A46C"/>
                <w:sz w:val="22"/>
              </w:rPr>
              <w:t>+2.4%</w:t>
            </w:r>
          </w:p>
        </w:tc>
        <w:tc>
          <w:tcPr>
            <w:tcW w:type="dxa" w:w="1728"/>
          </w:tcPr>
          <w:p>
            <w:r>
              <w:rPr>
                <w:rFonts w:ascii="Calibri" w:hAnsi="Calibri"/>
                <w:sz w:val="22"/>
              </w:rPr>
              <w:t>Beat</w:t>
            </w:r>
          </w:p>
        </w:tc>
      </w:tr>
      <w:tr>
        <w:tc>
          <w:tcPr>
            <w:tcW w:type="dxa" w:w="1728"/>
          </w:tcPr>
          <w:p>
            <w:r>
              <w:rPr>
                <w:rFonts w:ascii="Calibri" w:hAnsi="Calibri"/>
                <w:sz w:val="22"/>
              </w:rPr>
              <w:t>Q3 FY2025 (Dec 2024)</w:t>
            </w:r>
          </w:p>
        </w:tc>
        <w:tc>
          <w:tcPr>
            <w:tcW w:type="dxa" w:w="1728"/>
          </w:tcPr>
          <w:p>
            <w:r>
              <w:rPr>
                <w:rFonts w:ascii="Calibri" w:hAnsi="Calibri"/>
                <w:sz w:val="22"/>
              </w:rPr>
              <w:t>$1,827.2</w:t>
            </w:r>
          </w:p>
        </w:tc>
        <w:tc>
          <w:tcPr>
            <w:tcW w:type="dxa" w:w="1728"/>
          </w:tcPr>
          <w:p>
            <w:r>
              <w:rPr>
                <w:rFonts w:ascii="Calibri" w:hAnsi="Calibri"/>
                <w:sz w:val="22"/>
              </w:rPr>
              <w:t>$1,731.9</w:t>
            </w:r>
          </w:p>
        </w:tc>
        <w:tc>
          <w:tcPr>
            <w:tcW w:type="dxa" w:w="1728"/>
          </w:tcPr>
          <w:p>
            <w:r>
              <w:rPr>
                <w:rFonts w:ascii="Calibri" w:hAnsi="Calibri"/>
                <w:b/>
                <w:color w:val="30A46C"/>
                <w:sz w:val="22"/>
              </w:rPr>
              <w:t>+5.5%</w:t>
            </w:r>
          </w:p>
        </w:tc>
        <w:tc>
          <w:tcPr>
            <w:tcW w:type="dxa" w:w="1728"/>
          </w:tcPr>
          <w:p>
            <w:r>
              <w:rPr>
                <w:rFonts w:ascii="Calibri" w:hAnsi="Calibri"/>
                <w:sz w:val="22"/>
              </w:rPr>
              <w:t>Beat</w:t>
            </w:r>
          </w:p>
        </w:tc>
      </w:tr>
      <w:tr>
        <w:tc>
          <w:tcPr>
            <w:tcW w:type="dxa" w:w="1728"/>
          </w:tcPr>
          <w:p>
            <w:r>
              <w:rPr>
                <w:rFonts w:ascii="Calibri" w:hAnsi="Calibri"/>
                <w:sz w:val="22"/>
              </w:rPr>
              <w:t>Q2 FY2025 (Sep 2024)</w:t>
            </w:r>
          </w:p>
        </w:tc>
        <w:tc>
          <w:tcPr>
            <w:tcW w:type="dxa" w:w="1728"/>
          </w:tcPr>
          <w:p>
            <w:r>
              <w:rPr>
                <w:rFonts w:ascii="Calibri" w:hAnsi="Calibri"/>
                <w:sz w:val="22"/>
              </w:rPr>
              <w:t>$1,311.3</w:t>
            </w:r>
          </w:p>
        </w:tc>
        <w:tc>
          <w:tcPr>
            <w:tcW w:type="dxa" w:w="1728"/>
          </w:tcPr>
          <w:p>
            <w:r>
              <w:rPr>
                <w:rFonts w:ascii="Calibri" w:hAnsi="Calibri"/>
                <w:sz w:val="22"/>
              </w:rPr>
              <w:t>$1,201.7</w:t>
            </w:r>
          </w:p>
        </w:tc>
        <w:tc>
          <w:tcPr>
            <w:tcW w:type="dxa" w:w="1728"/>
          </w:tcPr>
          <w:p>
            <w:r>
              <w:rPr>
                <w:rFonts w:ascii="Calibri" w:hAnsi="Calibri"/>
                <w:b/>
                <w:color w:val="30A46C"/>
                <w:sz w:val="22"/>
              </w:rPr>
              <w:t>+9.1%</w:t>
            </w:r>
          </w:p>
        </w:tc>
        <w:tc>
          <w:tcPr>
            <w:tcW w:type="dxa" w:w="1728"/>
          </w:tcPr>
          <w:p>
            <w:r>
              <w:rPr>
                <w:rFonts w:ascii="Calibri" w:hAnsi="Calibri"/>
                <w:sz w:val="22"/>
              </w:rPr>
              <w:t>Beat</w:t>
            </w:r>
          </w:p>
        </w:tc>
      </w:tr>
      <w:tr>
        <w:tc>
          <w:tcPr>
            <w:tcW w:type="dxa" w:w="1728"/>
          </w:tcPr>
          <w:p>
            <w:r>
              <w:rPr>
                <w:rFonts w:ascii="Calibri" w:hAnsi="Calibri"/>
                <w:sz w:val="22"/>
              </w:rPr>
              <w:t>Q1 FY2025 (Jun 2024)</w:t>
            </w:r>
          </w:p>
        </w:tc>
        <w:tc>
          <w:tcPr>
            <w:tcW w:type="dxa" w:w="1728"/>
          </w:tcPr>
          <w:p>
            <w:r>
              <w:rPr>
                <w:rFonts w:ascii="Calibri" w:hAnsi="Calibri"/>
                <w:sz w:val="22"/>
              </w:rPr>
              <w:t>$825.3</w:t>
            </w:r>
          </w:p>
        </w:tc>
        <w:tc>
          <w:tcPr>
            <w:tcW w:type="dxa" w:w="1728"/>
          </w:tcPr>
          <w:p>
            <w:r>
              <w:rPr>
                <w:rFonts w:ascii="Calibri" w:hAnsi="Calibri"/>
                <w:sz w:val="22"/>
              </w:rPr>
              <w:t>$808.0</w:t>
            </w:r>
          </w:p>
        </w:tc>
        <w:tc>
          <w:tcPr>
            <w:tcW w:type="dxa" w:w="1728"/>
          </w:tcPr>
          <w:p>
            <w:r>
              <w:rPr>
                <w:rFonts w:ascii="Calibri" w:hAnsi="Calibri"/>
                <w:b/>
                <w:color w:val="30A46C"/>
                <w:sz w:val="22"/>
              </w:rPr>
              <w:t>+2.1%</w:t>
            </w:r>
          </w:p>
        </w:tc>
        <w:tc>
          <w:tcPr>
            <w:tcW w:type="dxa" w:w="1728"/>
          </w:tcPr>
          <w:p>
            <w:r>
              <w:rPr>
                <w:rFonts w:ascii="Calibri" w:hAnsi="Calibri"/>
                <w:sz w:val="22"/>
              </w:rPr>
              <w:t>Beat</w:t>
            </w:r>
          </w:p>
        </w:tc>
      </w:tr>
    </w:tbl>
    <w:p>
      <w:r>
        <w:rPr>
          <w:rFonts w:ascii="Calibri" w:hAnsi="Calibri"/>
          <w:b/>
          <w:color w:val="525866"/>
          <w:sz w:val="22"/>
        </w:rPr>
        <w:t>KPI 2: EPS — Diluted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Q4 FY2026 (Mar 2026)</w:t>
            </w:r>
          </w:p>
        </w:tc>
        <w:tc>
          <w:tcPr>
            <w:tcW w:type="dxa" w:w="1728"/>
          </w:tcPr>
          <w:p>
            <w:r>
              <w:rPr>
                <w:rFonts w:ascii="Calibri" w:hAnsi="Calibri"/>
                <w:sz w:val="22"/>
              </w:rPr>
              <w:t>$0.96</w:t>
            </w:r>
          </w:p>
        </w:tc>
        <w:tc>
          <w:tcPr>
            <w:tcW w:type="dxa" w:w="1728"/>
          </w:tcPr>
          <w:p>
            <w:r>
              <w:rPr>
                <w:rFonts w:ascii="Calibri" w:hAnsi="Calibri"/>
                <w:sz w:val="22"/>
              </w:rPr>
              <w:t>$0.835</w:t>
            </w:r>
          </w:p>
        </w:tc>
        <w:tc>
          <w:tcPr>
            <w:tcW w:type="dxa" w:w="1728"/>
          </w:tcPr>
          <w:p>
            <w:r>
              <w:rPr>
                <w:rFonts w:ascii="Calibri" w:hAnsi="Calibri"/>
                <w:b/>
                <w:color w:val="30A46C"/>
                <w:sz w:val="22"/>
              </w:rPr>
              <w:t>+15.0%</w:t>
            </w:r>
          </w:p>
        </w:tc>
        <w:tc>
          <w:tcPr>
            <w:tcW w:type="dxa" w:w="1728"/>
          </w:tcPr>
          <w:p>
            <w:r>
              <w:rPr>
                <w:rFonts w:ascii="Calibri" w:hAnsi="Calibri"/>
                <w:sz w:val="22"/>
              </w:rPr>
              <w:t>Beat</w:t>
            </w:r>
          </w:p>
        </w:tc>
      </w:tr>
      <w:tr>
        <w:tc>
          <w:tcPr>
            <w:tcW w:type="dxa" w:w="1728"/>
          </w:tcPr>
          <w:p>
            <w:r>
              <w:rPr>
                <w:rFonts w:ascii="Calibri" w:hAnsi="Calibri"/>
                <w:sz w:val="22"/>
              </w:rPr>
              <w:t>Q3 FY2026 (Dec 2025)</w:t>
            </w:r>
          </w:p>
        </w:tc>
        <w:tc>
          <w:tcPr>
            <w:tcW w:type="dxa" w:w="1728"/>
          </w:tcPr>
          <w:p>
            <w:r>
              <w:rPr>
                <w:rFonts w:ascii="Calibri" w:hAnsi="Calibri"/>
                <w:sz w:val="22"/>
              </w:rPr>
              <w:t>$3.33</w:t>
            </w:r>
          </w:p>
        </w:tc>
        <w:tc>
          <w:tcPr>
            <w:tcW w:type="dxa" w:w="1728"/>
          </w:tcPr>
          <w:p>
            <w:r>
              <w:rPr>
                <w:rFonts w:ascii="Calibri" w:hAnsi="Calibri"/>
                <w:sz w:val="22"/>
              </w:rPr>
              <w:t>$2.779</w:t>
            </w:r>
          </w:p>
        </w:tc>
        <w:tc>
          <w:tcPr>
            <w:tcW w:type="dxa" w:w="1728"/>
          </w:tcPr>
          <w:p>
            <w:r>
              <w:rPr>
                <w:rFonts w:ascii="Calibri" w:hAnsi="Calibri"/>
                <w:b/>
                <w:color w:val="30A46C"/>
                <w:sz w:val="22"/>
              </w:rPr>
              <w:t>+19.8%</w:t>
            </w:r>
          </w:p>
        </w:tc>
        <w:tc>
          <w:tcPr>
            <w:tcW w:type="dxa" w:w="1728"/>
          </w:tcPr>
          <w:p>
            <w:r>
              <w:rPr>
                <w:rFonts w:ascii="Calibri" w:hAnsi="Calibri"/>
                <w:sz w:val="22"/>
              </w:rPr>
              <w:t>Beat</w:t>
            </w:r>
          </w:p>
        </w:tc>
      </w:tr>
      <w:tr>
        <w:tc>
          <w:tcPr>
            <w:tcW w:type="dxa" w:w="1728"/>
          </w:tcPr>
          <w:p>
            <w:r>
              <w:rPr>
                <w:rFonts w:ascii="Calibri" w:hAnsi="Calibri"/>
                <w:sz w:val="22"/>
              </w:rPr>
              <w:t>Q2 FY2026 (Sep 2025)</w:t>
            </w:r>
          </w:p>
        </w:tc>
        <w:tc>
          <w:tcPr>
            <w:tcW w:type="dxa" w:w="1728"/>
          </w:tcPr>
          <w:p>
            <w:r>
              <w:rPr>
                <w:rFonts w:ascii="Calibri" w:hAnsi="Calibri"/>
                <w:sz w:val="22"/>
              </w:rPr>
              <w:t>$1.82</w:t>
            </w:r>
          </w:p>
        </w:tc>
        <w:tc>
          <w:tcPr>
            <w:tcW w:type="dxa" w:w="1728"/>
          </w:tcPr>
          <w:p>
            <w:r>
              <w:rPr>
                <w:rFonts w:ascii="Calibri" w:hAnsi="Calibri"/>
                <w:sz w:val="22"/>
              </w:rPr>
              <w:t>$1.587</w:t>
            </w:r>
          </w:p>
        </w:tc>
        <w:tc>
          <w:tcPr>
            <w:tcW w:type="dxa" w:w="1728"/>
          </w:tcPr>
          <w:p>
            <w:r>
              <w:rPr>
                <w:rFonts w:ascii="Calibri" w:hAnsi="Calibri"/>
                <w:b/>
                <w:color w:val="30A46C"/>
                <w:sz w:val="22"/>
              </w:rPr>
              <w:t>+14.7%</w:t>
            </w:r>
          </w:p>
        </w:tc>
        <w:tc>
          <w:tcPr>
            <w:tcW w:type="dxa" w:w="1728"/>
          </w:tcPr>
          <w:p>
            <w:r>
              <w:rPr>
                <w:rFonts w:ascii="Calibri" w:hAnsi="Calibri"/>
                <w:sz w:val="22"/>
              </w:rPr>
              <w:t>Beat</w:t>
            </w:r>
          </w:p>
        </w:tc>
      </w:tr>
      <w:tr>
        <w:tc>
          <w:tcPr>
            <w:tcW w:type="dxa" w:w="1728"/>
          </w:tcPr>
          <w:p>
            <w:r>
              <w:rPr>
                <w:rFonts w:ascii="Calibri" w:hAnsi="Calibri"/>
                <w:sz w:val="22"/>
              </w:rPr>
              <w:t>Q1 FY2026 (Jun 2025)</w:t>
            </w:r>
          </w:p>
        </w:tc>
        <w:tc>
          <w:tcPr>
            <w:tcW w:type="dxa" w:w="1728"/>
          </w:tcPr>
          <w:p>
            <w:r>
              <w:rPr>
                <w:rFonts w:ascii="Calibri" w:hAnsi="Calibri"/>
                <w:sz w:val="22"/>
              </w:rPr>
              <w:t>$0.93</w:t>
            </w:r>
          </w:p>
        </w:tc>
        <w:tc>
          <w:tcPr>
            <w:tcW w:type="dxa" w:w="1728"/>
          </w:tcPr>
          <w:p>
            <w:r>
              <w:rPr>
                <w:rFonts w:ascii="Calibri" w:hAnsi="Calibri"/>
                <w:sz w:val="22"/>
              </w:rPr>
              <w:t>$0.685</w:t>
            </w:r>
          </w:p>
        </w:tc>
        <w:tc>
          <w:tcPr>
            <w:tcW w:type="dxa" w:w="1728"/>
          </w:tcPr>
          <w:p>
            <w:r>
              <w:rPr>
                <w:rFonts w:ascii="Calibri" w:hAnsi="Calibri"/>
                <w:b/>
                <w:color w:val="30A46C"/>
                <w:sz w:val="22"/>
              </w:rPr>
              <w:t>+35.8%</w:t>
            </w:r>
          </w:p>
        </w:tc>
        <w:tc>
          <w:tcPr>
            <w:tcW w:type="dxa" w:w="1728"/>
          </w:tcPr>
          <w:p>
            <w:r>
              <w:rPr>
                <w:rFonts w:ascii="Calibri" w:hAnsi="Calibri"/>
                <w:sz w:val="22"/>
              </w:rPr>
              <w:t>Beat</w:t>
            </w:r>
          </w:p>
        </w:tc>
      </w:tr>
      <w:tr>
        <w:tc>
          <w:tcPr>
            <w:tcW w:type="dxa" w:w="1728"/>
          </w:tcPr>
          <w:p>
            <w:r>
              <w:rPr>
                <w:rFonts w:ascii="Calibri" w:hAnsi="Calibri"/>
                <w:sz w:val="22"/>
              </w:rPr>
              <w:t>Q4 FY2025 (Mar 2025)</w:t>
            </w:r>
          </w:p>
        </w:tc>
        <w:tc>
          <w:tcPr>
            <w:tcW w:type="dxa" w:w="1728"/>
          </w:tcPr>
          <w:p>
            <w:r>
              <w:rPr>
                <w:rFonts w:ascii="Calibri" w:hAnsi="Calibri"/>
                <w:sz w:val="22"/>
              </w:rPr>
              <w:t>$1.00</w:t>
            </w:r>
          </w:p>
        </w:tc>
        <w:tc>
          <w:tcPr>
            <w:tcW w:type="dxa" w:w="1728"/>
          </w:tcPr>
          <w:p>
            <w:r>
              <w:rPr>
                <w:rFonts w:ascii="Calibri" w:hAnsi="Calibri"/>
                <w:sz w:val="22"/>
              </w:rPr>
              <w:t>$0.596</w:t>
            </w:r>
          </w:p>
        </w:tc>
        <w:tc>
          <w:tcPr>
            <w:tcW w:type="dxa" w:w="1728"/>
          </w:tcPr>
          <w:p>
            <w:r>
              <w:rPr>
                <w:rFonts w:ascii="Calibri" w:hAnsi="Calibri"/>
                <w:b/>
                <w:color w:val="30A46C"/>
                <w:sz w:val="22"/>
              </w:rPr>
              <w:t>+67.8%</w:t>
            </w:r>
          </w:p>
        </w:tc>
        <w:tc>
          <w:tcPr>
            <w:tcW w:type="dxa" w:w="1728"/>
          </w:tcPr>
          <w:p>
            <w:r>
              <w:rPr>
                <w:rFonts w:ascii="Calibri" w:hAnsi="Calibri"/>
                <w:sz w:val="22"/>
              </w:rPr>
              <w:t>Beat</w:t>
            </w:r>
          </w:p>
        </w:tc>
      </w:tr>
      <w:tr>
        <w:tc>
          <w:tcPr>
            <w:tcW w:type="dxa" w:w="1728"/>
          </w:tcPr>
          <w:p>
            <w:r>
              <w:rPr>
                <w:rFonts w:ascii="Calibri" w:hAnsi="Calibri"/>
                <w:sz w:val="22"/>
              </w:rPr>
              <w:t>Q3 FY2025 (Dec 2024)</w:t>
            </w:r>
          </w:p>
        </w:tc>
        <w:tc>
          <w:tcPr>
            <w:tcW w:type="dxa" w:w="1728"/>
          </w:tcPr>
          <w:p>
            <w:r>
              <w:rPr>
                <w:rFonts w:ascii="Calibri" w:hAnsi="Calibri"/>
                <w:sz w:val="22"/>
              </w:rPr>
              <w:t>$3.00</w:t>
            </w:r>
          </w:p>
        </w:tc>
        <w:tc>
          <w:tcPr>
            <w:tcW w:type="dxa" w:w="1728"/>
          </w:tcPr>
          <w:p>
            <w:r>
              <w:rPr>
                <w:rFonts w:ascii="Calibri" w:hAnsi="Calibri"/>
                <w:sz w:val="22"/>
              </w:rPr>
              <w:t>$2.604</w:t>
            </w:r>
          </w:p>
        </w:tc>
        <w:tc>
          <w:tcPr>
            <w:tcW w:type="dxa" w:w="1728"/>
          </w:tcPr>
          <w:p>
            <w:r>
              <w:rPr>
                <w:rFonts w:ascii="Calibri" w:hAnsi="Calibri"/>
                <w:b/>
                <w:color w:val="30A46C"/>
                <w:sz w:val="22"/>
              </w:rPr>
              <w:t>+15.2%</w:t>
            </w:r>
          </w:p>
        </w:tc>
        <w:tc>
          <w:tcPr>
            <w:tcW w:type="dxa" w:w="1728"/>
          </w:tcPr>
          <w:p>
            <w:r>
              <w:rPr>
                <w:rFonts w:ascii="Calibri" w:hAnsi="Calibri"/>
                <w:sz w:val="22"/>
              </w:rPr>
              <w:t>Beat</w:t>
            </w:r>
          </w:p>
        </w:tc>
      </w:tr>
      <w:tr>
        <w:tc>
          <w:tcPr>
            <w:tcW w:type="dxa" w:w="1728"/>
          </w:tcPr>
          <w:p>
            <w:r>
              <w:rPr>
                <w:rFonts w:ascii="Calibri" w:hAnsi="Calibri"/>
                <w:sz w:val="22"/>
              </w:rPr>
              <w:t>Q2 FY2025 (Sep 2024)</w:t>
            </w:r>
          </w:p>
        </w:tc>
        <w:tc>
          <w:tcPr>
            <w:tcW w:type="dxa" w:w="1728"/>
          </w:tcPr>
          <w:p>
            <w:r>
              <w:rPr>
                <w:rFonts w:ascii="Calibri" w:hAnsi="Calibri"/>
                <w:sz w:val="22"/>
              </w:rPr>
              <w:t>$1.59</w:t>
            </w:r>
          </w:p>
        </w:tc>
        <w:tc>
          <w:tcPr>
            <w:tcW w:type="dxa" w:w="1728"/>
          </w:tcPr>
          <w:p>
            <w:r>
              <w:rPr>
                <w:rFonts w:ascii="Calibri" w:hAnsi="Calibri"/>
                <w:sz w:val="22"/>
              </w:rPr>
              <w:t>$1.233</w:t>
            </w:r>
          </w:p>
        </w:tc>
        <w:tc>
          <w:tcPr>
            <w:tcW w:type="dxa" w:w="1728"/>
          </w:tcPr>
          <w:p>
            <w:r>
              <w:rPr>
                <w:rFonts w:ascii="Calibri" w:hAnsi="Calibri"/>
                <w:b/>
                <w:color w:val="30A46C"/>
                <w:sz w:val="22"/>
              </w:rPr>
              <w:t>+28.9%</w:t>
            </w:r>
          </w:p>
        </w:tc>
        <w:tc>
          <w:tcPr>
            <w:tcW w:type="dxa" w:w="1728"/>
          </w:tcPr>
          <w:p>
            <w:r>
              <w:rPr>
                <w:rFonts w:ascii="Calibri" w:hAnsi="Calibri"/>
                <w:sz w:val="22"/>
              </w:rPr>
              <w:t>Beat</w:t>
            </w:r>
          </w:p>
        </w:tc>
      </w:tr>
      <w:tr>
        <w:tc>
          <w:tcPr>
            <w:tcW w:type="dxa" w:w="1728"/>
          </w:tcPr>
          <w:p>
            <w:r>
              <w:rPr>
                <w:rFonts w:ascii="Calibri" w:hAnsi="Calibri"/>
                <w:sz w:val="22"/>
              </w:rPr>
              <w:t>Q1 FY2025 (Jun 2024)</w:t>
            </w:r>
          </w:p>
        </w:tc>
        <w:tc>
          <w:tcPr>
            <w:tcW w:type="dxa" w:w="1728"/>
          </w:tcPr>
          <w:p>
            <w:r>
              <w:rPr>
                <w:rFonts w:ascii="Calibri" w:hAnsi="Calibri"/>
                <w:sz w:val="22"/>
              </w:rPr>
              <w:t>$0.75</w:t>
            </w:r>
          </w:p>
        </w:tc>
        <w:tc>
          <w:tcPr>
            <w:tcW w:type="dxa" w:w="1728"/>
          </w:tcPr>
          <w:p>
            <w:r>
              <w:rPr>
                <w:rFonts w:ascii="Calibri" w:hAnsi="Calibri"/>
                <w:sz w:val="22"/>
              </w:rPr>
              <w:t>$0.584</w:t>
            </w:r>
          </w:p>
        </w:tc>
        <w:tc>
          <w:tcPr>
            <w:tcW w:type="dxa" w:w="1728"/>
          </w:tcPr>
          <w:p>
            <w:r>
              <w:rPr>
                <w:rFonts w:ascii="Calibri" w:hAnsi="Calibri"/>
                <w:b/>
                <w:color w:val="30A46C"/>
                <w:sz w:val="22"/>
              </w:rPr>
              <w:t>+28.4%</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DECK has beaten consensus on both revenue and EPS in each of the last 8 quarters, with EPS beats averaging well above 20% — a remarkably consistent track record that has historically set a high bar for the stock to react positively on results day. The magnitude of beats has moderated in recent quarters (Q4 FY2026 EPS beat of +15% vs. prior-year beats of +30–68%), suggesting the Street has progressively closed the gap. Consensus for Q1 FY2027 sits above guidance midpoint, meaning the historical pattern of large beats may be harder to replicate this quarter.</w:t>
      </w:r>
    </w:p>
    <w:p>
      <w:r>
        <w:rPr>
          <w:rFonts w:ascii="Calibri" w:hAnsi="Calibri"/>
          <w:i/>
          <w:color w:val="525866"/>
          <w:sz w:val="22"/>
        </w:rPr>
        <w:t>Source: Visible Alpha Consensus and Actuals Data (https://insights.visiblealpha.com/mex/DECK/NMV/IS).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May 21 earnings call; the initial Q1 FY2027 and full-year FY2027 guidance remains the operative framework. Tone was notably more confident than prior quarters — the CFO explicitly stated the multi-year framework is "not a conservative guide," a meaningful shift from DECK's historically cautious posture.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(May 21, 2026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Q1 FY2027 Revenue</w:t>
            </w:r>
          </w:p>
        </w:tc>
        <w:tc>
          <w:tcPr>
            <w:tcW w:type="dxa" w:w="1728"/>
          </w:tcPr>
          <w:p>
            <w:r>
              <w:rPr>
                <w:rFonts w:ascii="Calibri" w:hAnsi="Calibri"/>
                <w:sz w:val="22"/>
              </w:rPr>
              <w:t>~+5% YoY (~$1.01–$1.02B implied)</w:t>
            </w:r>
          </w:p>
        </w:tc>
        <w:tc>
          <w:tcPr>
            <w:tcW w:type="dxa" w:w="1728"/>
          </w:tcPr>
          <w:p>
            <w:r>
              <w:rPr>
                <w:rFonts w:ascii="Calibri" w:hAnsi="Calibri"/>
                <w:sz w:val="22"/>
              </w:rPr>
              <w:t>—</w:t>
            </w:r>
          </w:p>
        </w:tc>
        <w:tc>
          <w:tcPr>
            <w:tcW w:type="dxa" w:w="1728"/>
          </w:tcPr>
          <w:p>
            <w:r>
              <w:rPr>
                <w:rFonts w:ascii="Calibri" w:hAnsi="Calibri"/>
                <w:sz w:val="22"/>
              </w:rPr>
              <w:t>$1,018.1M (+5.6% YoY)</w:t>
            </w:r>
          </w:p>
        </w:tc>
        <w:tc>
          <w:tcPr>
            <w:tcW w:type="dxa" w:w="1728"/>
          </w:tcPr>
          <w:p>
            <w:r>
              <w:rPr>
                <w:rFonts w:ascii="Calibri" w:hAnsi="Calibri"/>
                <w:sz w:val="22"/>
              </w:rPr>
              <w:t>No post-earnings revision. Consensus in line with guidance.</w:t>
            </w:r>
          </w:p>
        </w:tc>
      </w:tr>
      <w:tr>
        <w:tc>
          <w:tcPr>
            <w:tcW w:type="dxa" w:w="1728"/>
          </w:tcPr>
          <w:p>
            <w:r>
              <w:rPr>
                <w:rFonts w:ascii="Calibri" w:hAnsi="Calibri"/>
                <w:sz w:val="22"/>
              </w:rPr>
              <w:t>Q1 FY2027 EPS (Diluted Operating)</w:t>
            </w:r>
          </w:p>
        </w:tc>
        <w:tc>
          <w:tcPr>
            <w:tcW w:type="dxa" w:w="1728"/>
          </w:tcPr>
          <w:p>
            <w:r>
              <w:rPr>
                <w:rFonts w:ascii="Calibri" w:hAnsi="Calibri"/>
                <w:sz w:val="22"/>
              </w:rPr>
              <w:t>$0.82–$0.87</w:t>
            </w:r>
          </w:p>
        </w:tc>
        <w:tc>
          <w:tcPr>
            <w:tcW w:type="dxa" w:w="1728"/>
          </w:tcPr>
          <w:p>
            <w:r>
              <w:rPr>
                <w:rFonts w:ascii="Calibri" w:hAnsi="Calibri"/>
                <w:sz w:val="22"/>
              </w:rPr>
              <w:t>—</w:t>
            </w:r>
          </w:p>
        </w:tc>
        <w:tc>
          <w:tcPr>
            <w:tcW w:type="dxa" w:w="1728"/>
          </w:tcPr>
          <w:p>
            <w:r>
              <w:rPr>
                <w:rFonts w:ascii="Calibri" w:hAnsi="Calibri"/>
                <w:sz w:val="22"/>
              </w:rPr>
              <w:t>$0.875</w:t>
            </w:r>
          </w:p>
        </w:tc>
        <w:tc>
          <w:tcPr>
            <w:tcW w:type="dxa" w:w="1728"/>
          </w:tcPr>
          <w:p>
            <w:r>
              <w:rPr>
                <w:rFonts w:ascii="Calibri" w:hAnsi="Calibri"/>
                <w:sz w:val="22"/>
              </w:rPr>
              <w:t>Consensus sits at top of guidance range; no revision since print.</w:t>
            </w:r>
          </w:p>
        </w:tc>
      </w:tr>
      <w:tr>
        <w:tc>
          <w:tcPr>
            <w:tcW w:type="dxa" w:w="1728"/>
          </w:tcPr>
          <w:p>
            <w:r>
              <w:rPr>
                <w:rFonts w:ascii="Calibri" w:hAnsi="Calibri"/>
                <w:sz w:val="22"/>
              </w:rPr>
              <w:t>Q1 FY2027 Gross Margin</w:t>
            </w:r>
          </w:p>
        </w:tc>
        <w:tc>
          <w:tcPr>
            <w:tcW w:type="dxa" w:w="1728"/>
          </w:tcPr>
          <w:p>
            <w:r>
              <w:rPr>
                <w:rFonts w:ascii="Calibri" w:hAnsi="Calibri"/>
                <w:sz w:val="22"/>
              </w:rPr>
              <w:t>Down YoY (tariff wraparound + freight headwinds; slight FX/channel mix offset)</w:t>
            </w:r>
          </w:p>
        </w:tc>
        <w:tc>
          <w:tcPr>
            <w:tcW w:type="dxa" w:w="1728"/>
          </w:tcPr>
          <w:p>
            <w:r>
              <w:rPr>
                <w:rFonts w:ascii="Calibri" w:hAnsi="Calibri"/>
                <w:sz w:val="22"/>
              </w:rPr>
              <w:t>—</w:t>
            </w:r>
          </w:p>
        </w:tc>
        <w:tc>
          <w:tcPr>
            <w:tcW w:type="dxa" w:w="1728"/>
          </w:tcPr>
          <w:p>
            <w:r>
              <w:rPr>
                <w:rFonts w:ascii="Calibri" w:hAnsi="Calibri"/>
                <w:sz w:val="22"/>
              </w:rPr>
              <w:t>~54.5% implied (vs. 55.8% in Q1 FY2026)</w:t>
            </w:r>
          </w:p>
        </w:tc>
        <w:tc>
          <w:tcPr>
            <w:tcW w:type="dxa" w:w="1728"/>
          </w:tcPr>
          <w:p>
            <w:r>
              <w:rPr>
                <w:rFonts w:ascii="Calibri" w:hAnsi="Calibri"/>
                <w:sz w:val="22"/>
              </w:rPr>
              <w:t>Gross margin is the key swing factor; any outperformance here drives EPS upside.</w:t>
            </w:r>
          </w:p>
        </w:tc>
      </w:tr>
      <w:tr>
        <w:tc>
          <w:tcPr>
            <w:tcW w:type="dxa" w:w="1728"/>
          </w:tcPr>
          <w:p>
            <w:r>
              <w:rPr>
                <w:rFonts w:ascii="Calibri" w:hAnsi="Calibri"/>
                <w:sz w:val="22"/>
              </w:rPr>
              <w:t>Q1 FY2027 SG&amp;A</w:t>
            </w:r>
          </w:p>
        </w:tc>
        <w:tc>
          <w:tcPr>
            <w:tcW w:type="dxa" w:w="1728"/>
          </w:tcPr>
          <w:p>
            <w:r>
              <w:rPr>
                <w:rFonts w:ascii="Calibri" w:hAnsi="Calibri"/>
                <w:sz w:val="22"/>
              </w:rPr>
              <w:t>Growing ~2x revenue rate; marketing investments, new hires, FX remeasurement lap</w:t>
            </w:r>
          </w:p>
        </w:tc>
        <w:tc>
          <w:tcPr>
            <w:tcW w:type="dxa" w:w="1728"/>
          </w:tcPr>
          <w:p>
            <w:r>
              <w:rPr>
                <w:rFonts w:ascii="Calibri" w:hAnsi="Calibri"/>
                <w:sz w:val="22"/>
              </w:rPr>
              <w:t>—</w:t>
            </w:r>
          </w:p>
        </w:tc>
        <w:tc>
          <w:tcPr>
            <w:tcW w:type="dxa" w:w="1728"/>
          </w:tcPr>
          <w:p>
            <w:r>
              <w:rPr>
                <w:rFonts w:ascii="Calibri" w:hAnsi="Calibri"/>
                <w:sz w:val="22"/>
              </w:rPr>
              <w:t>~$385–$395M implied</w:t>
            </w:r>
          </w:p>
        </w:tc>
        <w:tc>
          <w:tcPr>
            <w:tcW w:type="dxa" w:w="1728"/>
          </w:tcPr>
          <w:p>
            <w:r>
              <w:rPr>
                <w:rFonts w:ascii="Calibri" w:hAnsi="Calibri"/>
                <w:sz w:val="22"/>
              </w:rPr>
              <w:t>Elevated SG&amp;A is a known headwind; management flagged lapping of favorable FX timing.</w:t>
            </w:r>
          </w:p>
        </w:tc>
      </w:tr>
      <w:tr>
        <w:tc>
          <w:tcPr>
            <w:tcW w:type="dxa" w:w="1728"/>
          </w:tcPr>
          <w:p>
            <w:r>
              <w:rPr>
                <w:rFonts w:ascii="Calibri" w:hAnsi="Calibri"/>
                <w:sz w:val="22"/>
              </w:rPr>
              <w:t>FY2027 Revenue</w:t>
            </w:r>
          </w:p>
        </w:tc>
        <w:tc>
          <w:tcPr>
            <w:tcW w:type="dxa" w:w="1728"/>
          </w:tcPr>
          <w:p>
            <w:r>
              <w:rPr>
                <w:rFonts w:ascii="Calibri" w:hAnsi="Calibri"/>
                <w:sz w:val="22"/>
              </w:rPr>
              <w:t>$5.86B–$5.91B (high single-digit growth)</w:t>
            </w:r>
          </w:p>
        </w:tc>
        <w:tc>
          <w:tcPr>
            <w:tcW w:type="dxa" w:w="1728"/>
          </w:tcPr>
          <w:p>
            <w:r>
              <w:rPr>
                <w:rFonts w:ascii="Calibri" w:hAnsi="Calibri"/>
                <w:sz w:val="22"/>
              </w:rPr>
              <w:t>—</w:t>
            </w:r>
          </w:p>
        </w:tc>
        <w:tc>
          <w:tcPr>
            <w:tcW w:type="dxa" w:w="1728"/>
          </w:tcPr>
          <w:p>
            <w:r>
              <w:rPr>
                <w:rFonts w:ascii="Calibri" w:hAnsi="Calibri"/>
                <w:sz w:val="22"/>
              </w:rPr>
              <w:t>$5,902.6M</w:t>
            </w:r>
          </w:p>
        </w:tc>
        <w:tc>
          <w:tcPr>
            <w:tcW w:type="dxa" w:w="1728"/>
          </w:tcPr>
          <w:p>
            <w:r>
              <w:rPr>
                <w:rFonts w:ascii="Calibri" w:hAnsi="Calibri"/>
                <w:sz w:val="22"/>
              </w:rPr>
              <w:t>Consensus at top of guidance range. No revision since May 21.</w:t>
            </w:r>
          </w:p>
        </w:tc>
      </w:tr>
      <w:tr>
        <w:tc>
          <w:tcPr>
            <w:tcW w:type="dxa" w:w="1728"/>
          </w:tcPr>
          <w:p>
            <w:r>
              <w:rPr>
                <w:rFonts w:ascii="Calibri" w:hAnsi="Calibri"/>
                <w:sz w:val="22"/>
              </w:rPr>
              <w:t>FY2027 EPS (Diluted Operating)</w:t>
            </w:r>
          </w:p>
        </w:tc>
        <w:tc>
          <w:tcPr>
            <w:tcW w:type="dxa" w:w="1728"/>
          </w:tcPr>
          <w:p>
            <w:r>
              <w:rPr>
                <w:rFonts w:ascii="Calibri" w:hAnsi="Calibri"/>
                <w:sz w:val="22"/>
              </w:rPr>
              <w:t>$7.30–$7.45</w:t>
            </w:r>
          </w:p>
        </w:tc>
        <w:tc>
          <w:tcPr>
            <w:tcW w:type="dxa" w:w="1728"/>
          </w:tcPr>
          <w:p>
            <w:r>
              <w:rPr>
                <w:rFonts w:ascii="Calibri" w:hAnsi="Calibri"/>
                <w:sz w:val="22"/>
              </w:rPr>
              <w:t>—</w:t>
            </w:r>
          </w:p>
        </w:tc>
        <w:tc>
          <w:tcPr>
            <w:tcW w:type="dxa" w:w="1728"/>
          </w:tcPr>
          <w:p>
            <w:r>
              <w:rPr>
                <w:rFonts w:ascii="Calibri" w:hAnsi="Calibri"/>
                <w:sz w:val="22"/>
              </w:rPr>
              <w:t>$7.468</w:t>
            </w:r>
          </w:p>
        </w:tc>
        <w:tc>
          <w:tcPr>
            <w:tcW w:type="dxa" w:w="1728"/>
          </w:tcPr>
          <w:p>
            <w:r>
              <w:rPr>
                <w:rFonts w:ascii="Calibri" w:hAnsi="Calibri"/>
                <w:sz w:val="22"/>
              </w:rPr>
              <w:t>Consensus at top of guidance range; assumes 80%+ FCF buyback. Tariff refunds not included in guidance.</w:t>
            </w:r>
          </w:p>
        </w:tc>
      </w:tr>
      <w:tr>
        <w:tc>
          <w:tcPr>
            <w:tcW w:type="dxa" w:w="1728"/>
          </w:tcPr>
          <w:p>
            <w:r>
              <w:rPr>
                <w:rFonts w:ascii="Calibri" w:hAnsi="Calibri"/>
                <w:sz w:val="22"/>
              </w:rPr>
              <w:t>FY2027 Gross Margin</w:t>
            </w:r>
          </w:p>
        </w:tc>
        <w:tc>
          <w:tcPr>
            <w:tcW w:type="dxa" w:w="1728"/>
          </w:tcPr>
          <w:p>
            <w:r>
              <w:rPr>
                <w:rFonts w:ascii="Calibri" w:hAnsi="Calibri"/>
                <w:sz w:val="22"/>
              </w:rPr>
              <w:t>~56.5% (down vs. FY2026 ~57.7%)</w:t>
            </w:r>
          </w:p>
        </w:tc>
        <w:tc>
          <w:tcPr>
            <w:tcW w:type="dxa" w:w="1728"/>
          </w:tcPr>
          <w:p>
            <w:r>
              <w:rPr>
                <w:rFonts w:ascii="Calibri" w:hAnsi="Calibri"/>
                <w:sz w:val="22"/>
              </w:rPr>
              <w:t>—</w:t>
            </w:r>
          </w:p>
        </w:tc>
        <w:tc>
          <w:tcPr>
            <w:tcW w:type="dxa" w:w="1728"/>
          </w:tcPr>
          <w:p>
            <w:r>
              <w:rPr>
                <w:rFonts w:ascii="Calibri" w:hAnsi="Calibri"/>
                <w:sz w:val="22"/>
              </w:rPr>
              <w:t>~56.5% (in line)</w:t>
            </w:r>
          </w:p>
        </w:tc>
        <w:tc>
          <w:tcPr>
            <w:tcW w:type="dxa" w:w="1728"/>
          </w:tcPr>
          <w:p>
            <w:r>
              <w:rPr>
                <w:rFonts w:ascii="Calibri" w:hAnsi="Calibri"/>
                <w:sz w:val="22"/>
              </w:rPr>
              <w:t>Pressure from freight inflation, material upgrades, tariff inventory sell-through in H1.</w:t>
            </w:r>
          </w:p>
        </w:tc>
      </w:tr>
      <w:tr>
        <w:tc>
          <w:tcPr>
            <w:tcW w:type="dxa" w:w="1728"/>
          </w:tcPr>
          <w:p>
            <w:r>
              <w:rPr>
                <w:rFonts w:ascii="Calibri" w:hAnsi="Calibri"/>
                <w:sz w:val="22"/>
              </w:rPr>
              <w:t>FY2027 Operating Margin</w:t>
            </w:r>
          </w:p>
        </w:tc>
        <w:tc>
          <w:tcPr>
            <w:tcW w:type="dxa" w:w="1728"/>
          </w:tcPr>
          <w:p>
            <w:r>
              <w:rPr>
                <w:rFonts w:ascii="Calibri" w:hAnsi="Calibri"/>
                <w:sz w:val="22"/>
              </w:rPr>
              <w:t>~21.5%</w:t>
            </w:r>
          </w:p>
        </w:tc>
        <w:tc>
          <w:tcPr>
            <w:tcW w:type="dxa" w:w="1728"/>
          </w:tcPr>
          <w:p>
            <w:r>
              <w:rPr>
                <w:rFonts w:ascii="Calibri" w:hAnsi="Calibri"/>
                <w:sz w:val="22"/>
              </w:rPr>
              <w:t>—</w:t>
            </w:r>
          </w:p>
        </w:tc>
        <w:tc>
          <w:tcPr>
            <w:tcW w:type="dxa" w:w="1728"/>
          </w:tcPr>
          <w:p>
            <w:r>
              <w:rPr>
                <w:rFonts w:ascii="Calibri" w:hAnsi="Calibri"/>
                <w:sz w:val="22"/>
              </w:rPr>
              <w:t>~21.7% implied</w:t>
            </w:r>
          </w:p>
        </w:tc>
        <w:tc>
          <w:tcPr>
            <w:tcW w:type="dxa" w:w="1728"/>
          </w:tcPr>
          <w:p>
            <w:r>
              <w:rPr>
                <w:rFonts w:ascii="Calibri" w:hAnsi="Calibri"/>
                <w:sz w:val="22"/>
              </w:rPr>
              <w:t>SG&amp;A ~35% of revenue; operating leverage expected in H2.</w:t>
            </w:r>
          </w:p>
        </w:tc>
      </w:tr>
      <w:tr>
        <w:tc>
          <w:tcPr>
            <w:tcW w:type="dxa" w:w="1728"/>
          </w:tcPr>
          <w:p>
            <w:r>
              <w:rPr>
                <w:rFonts w:ascii="Calibri" w:hAnsi="Calibri"/>
                <w:sz w:val="22"/>
              </w:rPr>
              <w:t>HOKA FY2027 Growth</w:t>
            </w:r>
          </w:p>
        </w:tc>
        <w:tc>
          <w:tcPr>
            <w:tcW w:type="dxa" w:w="1728"/>
          </w:tcPr>
          <w:p>
            <w:r>
              <w:rPr>
                <w:rFonts w:ascii="Calibri" w:hAnsi="Calibri"/>
                <w:sz w:val="22"/>
              </w:rPr>
              <w:t>Low double-digit % YoY; DTC growth &gt; wholesale</w:t>
            </w:r>
          </w:p>
        </w:tc>
        <w:tc>
          <w:tcPr>
            <w:tcW w:type="dxa" w:w="1728"/>
          </w:tcPr>
          <w:p>
            <w:r>
              <w:rPr>
                <w:rFonts w:ascii="Calibri" w:hAnsi="Calibri"/>
                <w:sz w:val="22"/>
              </w:rPr>
              <w:t>—</w:t>
            </w:r>
          </w:p>
        </w:tc>
        <w:tc>
          <w:tcPr>
            <w:tcW w:type="dxa" w:w="1728"/>
          </w:tcPr>
          <w:p>
            <w:r>
              <w:rPr>
                <w:rFonts w:ascii="Calibri" w:hAnsi="Calibri"/>
                <w:sz w:val="22"/>
              </w:rPr>
              <w:t>~+11.8% YoY ($2.893B)</w:t>
            </w:r>
          </w:p>
        </w:tc>
        <w:tc>
          <w:tcPr>
            <w:tcW w:type="dxa" w:w="1728"/>
          </w:tcPr>
          <w:p>
            <w:r>
              <w:rPr>
                <w:rFonts w:ascii="Calibri" w:hAnsi="Calibri"/>
                <w:sz w:val="22"/>
              </w:rPr>
              <w:t>Clifton 11 launch in July is key catalyst; selective wholesale expansion planned.</w:t>
            </w:r>
          </w:p>
        </w:tc>
      </w:tr>
      <w:tr>
        <w:tc>
          <w:tcPr>
            <w:tcW w:type="dxa" w:w="1728"/>
          </w:tcPr>
          <w:p>
            <w:r>
              <w:rPr>
                <w:rFonts w:ascii="Calibri" w:hAnsi="Calibri"/>
                <w:sz w:val="22"/>
              </w:rPr>
              <w:t>UGG FY2027 Growth</w:t>
            </w:r>
          </w:p>
        </w:tc>
        <w:tc>
          <w:tcPr>
            <w:tcW w:type="dxa" w:w="1728"/>
          </w:tcPr>
          <w:p>
            <w:r>
              <w:rPr>
                <w:rFonts w:ascii="Calibri" w:hAnsi="Calibri"/>
                <w:sz w:val="22"/>
              </w:rPr>
              <w:t>Mid-single-digit % YoY; balanced channel growth</w:t>
            </w:r>
          </w:p>
        </w:tc>
        <w:tc>
          <w:tcPr>
            <w:tcW w:type="dxa" w:w="1728"/>
          </w:tcPr>
          <w:p>
            <w:r>
              <w:rPr>
                <w:rFonts w:ascii="Calibri" w:hAnsi="Calibri"/>
                <w:sz w:val="22"/>
              </w:rPr>
              <w:t>—</w:t>
            </w:r>
          </w:p>
        </w:tc>
        <w:tc>
          <w:tcPr>
            <w:tcW w:type="dxa" w:w="1728"/>
          </w:tcPr>
          <w:p>
            <w:r>
              <w:rPr>
                <w:rFonts w:ascii="Calibri" w:hAnsi="Calibri"/>
                <w:sz w:val="22"/>
              </w:rPr>
              <w:t>~+5.2% YoY ($2.880B)</w:t>
            </w:r>
          </w:p>
        </w:tc>
        <w:tc>
          <w:tcPr>
            <w:tcW w:type="dxa" w:w="1728"/>
          </w:tcPr>
          <w:p>
            <w:r>
              <w:rPr>
                <w:rFonts w:ascii="Calibri" w:hAnsi="Calibri"/>
                <w:sz w:val="22"/>
              </w:rPr>
              <w:t>Men’s and 365 strategy emerging as incremental growth drivers.</w:t>
            </w:r>
          </w:p>
        </w:tc>
      </w:tr>
    </w:tbl>
    <w:p>
      <w:r>
        <w:rPr>
          <w:rFonts w:ascii="Calibri" w:hAnsi="Calibri"/>
          <w:i/>
          <w:color w:val="525866"/>
          <w:sz w:val="22"/>
        </w:rPr>
        <w:t xml:space="preserve">Source: </w:t>
      </w:r>
      <w:r>
        <w:rPr>
          <w:rFonts w:ascii="Calibri" w:hAnsi="Calibri"/>
          <w:i/>
          <w:color w:val="525866"/>
          <w:sz w:val="22"/>
        </w:rPr>
        <w:t>Initial guidance from DECK Q4 FY2026 Earnings Call transcript and Earnings Release (May 21, 2026). Current consensus from Visible Alpha (https://insights.visiblealpha.com/mex/DECK/NMV/IS and /RV). No post-earnings guidance revisions identified via 8-K, conference, or investor day filings.</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essentially flat since the post-print baseline — Q1 FY2027 EPS moved only +$0.006 and FY2027 EPS moved only +$0.011 since May 29 — indicating the Street has largely accepted guidance at face value without adding meaningful cushion. The gap between consensus and guidance midpoint is narrow, reducing the probability of a large EPS beat unless gross margin outperforms.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at May 29, 2026 (Post-Print Baseline)</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21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Total Revenue — Q1 FY2027</w:t>
            </w:r>
          </w:p>
        </w:tc>
        <w:tc>
          <w:tcPr>
            <w:tcW w:type="dxa" w:w="1080"/>
          </w:tcPr>
          <w:p>
            <w:r>
              <w:rPr>
                <w:rFonts w:ascii="Calibri" w:hAnsi="Calibri"/>
                <w:sz w:val="22"/>
              </w:rPr>
              <w:t>$1,018.8M</w:t>
            </w:r>
          </w:p>
        </w:tc>
        <w:tc>
          <w:tcPr>
            <w:tcW w:type="dxa" w:w="1080"/>
          </w:tcPr>
          <w:p>
            <w:r>
              <w:rPr>
                <w:rFonts w:ascii="Calibri" w:hAnsi="Calibri"/>
                <w:sz w:val="22"/>
              </w:rPr>
              <w:t>$1,018.1M</w:t>
            </w:r>
          </w:p>
        </w:tc>
        <w:tc>
          <w:tcPr>
            <w:tcW w:type="dxa" w:w="1080"/>
          </w:tcPr>
          <w:p>
            <w:r>
              <w:rPr>
                <w:rFonts w:ascii="Calibri" w:hAnsi="Calibri"/>
                <w:sz w:val="22"/>
              </w:rPr>
              <w:t>−0.1%</w:t>
            </w:r>
          </w:p>
        </w:tc>
        <w:tc>
          <w:tcPr>
            <w:tcW w:type="dxa" w:w="1080"/>
          </w:tcPr>
          <w:p>
            <w:r>
              <w:rPr>
                <w:rFonts w:ascii="Calibri" w:hAnsi="Calibri"/>
                <w:sz w:val="22"/>
              </w:rPr>
              <w:t>~$1.01–$1.02B (~+5%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 above midpoint</w:t>
            </w:r>
          </w:p>
        </w:tc>
      </w:tr>
      <w:tr>
        <w:tc>
          <w:tcPr>
            <w:tcW w:type="dxa" w:w="1080"/>
          </w:tcPr>
          <w:p>
            <w:r>
              <w:rPr>
                <w:rFonts w:ascii="Calibri" w:hAnsi="Calibri"/>
                <w:sz w:val="22"/>
              </w:rPr>
              <w:t>EPS (Diluted Operating) — Q1 FY2027</w:t>
            </w:r>
          </w:p>
        </w:tc>
        <w:tc>
          <w:tcPr>
            <w:tcW w:type="dxa" w:w="1080"/>
          </w:tcPr>
          <w:p>
            <w:r>
              <w:rPr>
                <w:rFonts w:ascii="Calibri" w:hAnsi="Calibri"/>
                <w:sz w:val="22"/>
              </w:rPr>
              <w:t>$0.869</w:t>
            </w:r>
          </w:p>
        </w:tc>
        <w:tc>
          <w:tcPr>
            <w:tcW w:type="dxa" w:w="1080"/>
          </w:tcPr>
          <w:p>
            <w:r>
              <w:rPr>
                <w:rFonts w:ascii="Calibri" w:hAnsi="Calibri"/>
                <w:sz w:val="22"/>
              </w:rPr>
              <w:t>$0.875</w:t>
            </w:r>
          </w:p>
        </w:tc>
        <w:tc>
          <w:tcPr>
            <w:tcW w:type="dxa" w:w="1080"/>
          </w:tcPr>
          <w:p>
            <w:r>
              <w:rPr>
                <w:rFonts w:ascii="Calibri" w:hAnsi="Calibri"/>
                <w:sz w:val="22"/>
              </w:rPr>
              <w:t>+0.7%</w:t>
            </w:r>
          </w:p>
        </w:tc>
        <w:tc>
          <w:tcPr>
            <w:tcW w:type="dxa" w:w="1080"/>
          </w:tcPr>
          <w:p>
            <w:r>
              <w:rPr>
                <w:rFonts w:ascii="Calibri" w:hAnsi="Calibri"/>
                <w:sz w:val="22"/>
              </w:rPr>
              <w:t>$0.82–$0.87</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+$0.03 above midpoint (+3.5%)</w:t>
            </w:r>
          </w:p>
        </w:tc>
      </w:tr>
      <w:tr>
        <w:tc>
          <w:tcPr>
            <w:tcW w:type="dxa" w:w="1080"/>
          </w:tcPr>
          <w:p>
            <w:r>
              <w:rPr>
                <w:rFonts w:ascii="Calibri" w:hAnsi="Calibri"/>
                <w:sz w:val="22"/>
              </w:rPr>
              <w:t>HOKA Revenue — Q1 FY2027</w:t>
            </w:r>
          </w:p>
        </w:tc>
        <w:tc>
          <w:tcPr>
            <w:tcW w:type="dxa" w:w="1080"/>
          </w:tcPr>
          <w:p>
            <w:r>
              <w:rPr>
                <w:rFonts w:ascii="Calibri" w:hAnsi="Calibri"/>
                <w:sz w:val="22"/>
              </w:rPr>
              <w:t>$705.2M</w:t>
            </w:r>
          </w:p>
        </w:tc>
        <w:tc>
          <w:tcPr>
            <w:tcW w:type="dxa" w:w="1080"/>
          </w:tcPr>
          <w:p>
            <w:r>
              <w:rPr>
                <w:rFonts w:ascii="Calibri" w:hAnsi="Calibri"/>
                <w:sz w:val="22"/>
              </w:rPr>
              <w:t>$704.8M</w:t>
            </w:r>
          </w:p>
        </w:tc>
        <w:tc>
          <w:tcPr>
            <w:tcW w:type="dxa" w:w="1080"/>
          </w:tcPr>
          <w:p>
            <w:r>
              <w:rPr>
                <w:rFonts w:ascii="Calibri" w:hAnsi="Calibri"/>
                <w:sz w:val="22"/>
              </w:rPr>
              <w:t>−0.1%</w:t>
            </w:r>
          </w:p>
        </w:tc>
        <w:tc>
          <w:tcPr>
            <w:tcW w:type="dxa" w:w="1080"/>
          </w:tcPr>
          <w:p>
            <w:r>
              <w:rPr>
                <w:rFonts w:ascii="Calibri" w:hAnsi="Calibri"/>
                <w:sz w:val="22"/>
              </w:rPr>
              <w:t>High single-digit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Total Revenue — FY2027</w:t>
            </w:r>
          </w:p>
        </w:tc>
        <w:tc>
          <w:tcPr>
            <w:tcW w:type="dxa" w:w="1080"/>
          </w:tcPr>
          <w:p>
            <w:r>
              <w:rPr>
                <w:rFonts w:ascii="Calibri" w:hAnsi="Calibri"/>
                <w:sz w:val="22"/>
              </w:rPr>
              <w:t>$5,899.5M</w:t>
            </w:r>
          </w:p>
        </w:tc>
        <w:tc>
          <w:tcPr>
            <w:tcW w:type="dxa" w:w="1080"/>
          </w:tcPr>
          <w:p>
            <w:r>
              <w:rPr>
                <w:rFonts w:ascii="Calibri" w:hAnsi="Calibri"/>
                <w:sz w:val="22"/>
              </w:rPr>
              <w:t>$5,902.6M</w:t>
            </w:r>
          </w:p>
        </w:tc>
        <w:tc>
          <w:tcPr>
            <w:tcW w:type="dxa" w:w="1080"/>
          </w:tcPr>
          <w:p>
            <w:r>
              <w:rPr>
                <w:rFonts w:ascii="Calibri" w:hAnsi="Calibri"/>
                <w:sz w:val="22"/>
              </w:rPr>
              <w:t>+0.1%</w:t>
            </w:r>
          </w:p>
        </w:tc>
        <w:tc>
          <w:tcPr>
            <w:tcW w:type="dxa" w:w="1080"/>
          </w:tcPr>
          <w:p>
            <w:r>
              <w:rPr>
                <w:rFonts w:ascii="Calibri" w:hAnsi="Calibri"/>
                <w:sz w:val="22"/>
              </w:rPr>
              <w:t>$5.86B–$5.91B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 above midpoint</w:t>
            </w:r>
          </w:p>
        </w:tc>
      </w:tr>
      <w:tr>
        <w:tc>
          <w:tcPr>
            <w:tcW w:type="dxa" w:w="1080"/>
          </w:tcPr>
          <w:p>
            <w:r>
              <w:rPr>
                <w:rFonts w:ascii="Calibri" w:hAnsi="Calibri"/>
                <w:sz w:val="22"/>
              </w:rPr>
              <w:t>EPS (Diluted Operating) — FY2027</w:t>
            </w:r>
          </w:p>
        </w:tc>
        <w:tc>
          <w:tcPr>
            <w:tcW w:type="dxa" w:w="1080"/>
          </w:tcPr>
          <w:p>
            <w:r>
              <w:rPr>
                <w:rFonts w:ascii="Calibri" w:hAnsi="Calibri"/>
                <w:sz w:val="22"/>
              </w:rPr>
              <w:t>$7.457</w:t>
            </w:r>
          </w:p>
        </w:tc>
        <w:tc>
          <w:tcPr>
            <w:tcW w:type="dxa" w:w="1080"/>
          </w:tcPr>
          <w:p>
            <w:r>
              <w:rPr>
                <w:rFonts w:ascii="Calibri" w:hAnsi="Calibri"/>
                <w:sz w:val="22"/>
              </w:rPr>
              <w:t>$7.468</w:t>
            </w:r>
          </w:p>
        </w:tc>
        <w:tc>
          <w:tcPr>
            <w:tcW w:type="dxa" w:w="1080"/>
          </w:tcPr>
          <w:p>
            <w:r>
              <w:rPr>
                <w:rFonts w:ascii="Calibri" w:hAnsi="Calibri"/>
                <w:sz w:val="22"/>
              </w:rPr>
              <w:t>+0.1%</w:t>
            </w:r>
          </w:p>
        </w:tc>
        <w:tc>
          <w:tcPr>
            <w:tcW w:type="dxa" w:w="1080"/>
          </w:tcPr>
          <w:p>
            <w:r>
              <w:rPr>
                <w:rFonts w:ascii="Calibri" w:hAnsi="Calibri"/>
                <w:sz w:val="22"/>
              </w:rPr>
              <w:t>$7.30–$7.45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+$0.09 above midpoint (+1.2%)</w:t>
            </w:r>
          </w:p>
        </w:tc>
      </w:tr>
      <w:tr>
        <w:tc>
          <w:tcPr>
            <w:tcW w:type="dxa" w:w="1080"/>
          </w:tcPr>
          <w:p>
            <w:r>
              <w:rPr>
                <w:rFonts w:ascii="Calibri" w:hAnsi="Calibri"/>
                <w:sz w:val="22"/>
              </w:rPr>
              <w:t>HOKA Revenue — FY2027</w:t>
            </w:r>
          </w:p>
        </w:tc>
        <w:tc>
          <w:tcPr>
            <w:tcW w:type="dxa" w:w="1080"/>
          </w:tcPr>
          <w:p>
            <w:r>
              <w:rPr>
                <w:rFonts w:ascii="Calibri" w:hAnsi="Calibri"/>
                <w:sz w:val="22"/>
              </w:rPr>
              <w:t>$2,890.0M</w:t>
            </w:r>
          </w:p>
        </w:tc>
        <w:tc>
          <w:tcPr>
            <w:tcW w:type="dxa" w:w="1080"/>
          </w:tcPr>
          <w:p>
            <w:r>
              <w:rPr>
                <w:rFonts w:ascii="Calibri" w:hAnsi="Calibri"/>
                <w:sz w:val="22"/>
              </w:rPr>
              <w:t>$2,892.6M</w:t>
            </w:r>
          </w:p>
        </w:tc>
        <w:tc>
          <w:tcPr>
            <w:tcW w:type="dxa" w:w="1080"/>
          </w:tcPr>
          <w:p>
            <w:r>
              <w:rPr>
                <w:rFonts w:ascii="Calibri" w:hAnsi="Calibri"/>
                <w:sz w:val="22"/>
              </w:rPr>
              <w:t>+0.1%</w:t>
            </w:r>
          </w:p>
        </w:tc>
        <w:tc>
          <w:tcPr>
            <w:tcW w:type="dxa" w:w="1080"/>
          </w:tcPr>
          <w:p>
            <w:r>
              <w:rPr>
                <w:rFonts w:ascii="Calibri" w:hAnsi="Calibri"/>
                <w:sz w:val="22"/>
              </w:rPr>
              <w:t>Low double-digit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bl>
    <w:p>
      <w:r>
        <w:rPr>
          <w:rFonts w:ascii="Calibri" w:hAnsi="Calibri"/>
          <w:color w:val="525866"/>
          <w:sz w:val="22"/>
        </w:rPr>
        <w:t>The near-zero estimate drift since the post-print baseline is notable: in prior quarters, estimates typically moved meaningfully higher in the weeks after earnings as analysts digested the beat and raised numbers. The flat revision trajectory here suggests the Street is treating guidance as the ceiling rather than the floor — a more cautious posture that could be explained by the known Q1 gross margin headwinds (tariff inventory sell-through, freight inflation) and the non-linear quarterly growth profile management flagged. Any gross margin outperformance vs. the ~54.5% implied consensus would be the most direct path to an EPS beat.</w:t>
      </w:r>
    </w:p>
    <w:p>
      <w:r>
        <w:rPr>
          <w:rFonts w:ascii="Calibri" w:hAnsi="Calibri"/>
          <w:i/>
          <w:color w:val="525866"/>
          <w:sz w:val="22"/>
        </w:rPr>
        <w:t xml:space="preserve">Source: </w:t>
      </w:r>
      <w:r>
        <w:rPr>
          <w:rFonts w:ascii="Calibri" w:hAnsi="Calibri"/>
          <w:i/>
          <w:color w:val="525866"/>
          <w:sz w:val="22"/>
        </w:rPr>
        <w:t>Visible Alpha Consensus and Actuals Data. Post-print baseline as of May 29, 2026 (5 trading days after May 21 earnings). Current consensus as of July 22, 2026. Guidance from DECK Q4 FY2026 Earnings Call transcript (May 21,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DECK's stock performance since the May 21 earnings print has been driven almost entirely by multiple compression rather than estimate revisions — the NTM P/E has contracted from ~14.9x six months ago to ~13.4x today, while estimates have been flat. The stock is not pricing in a beat, which creates an asymmetric setup if Q1 results are in line or better.</w:t>
      </w:r>
    </w:p>
    <w:p>
      <w:r>
        <w:rPr>
          <w:rFonts w:ascii="Calibri" w:hAnsi="Calibri"/>
          <w:b/>
          <w:color w:val="525866"/>
          <w:sz w:val="22"/>
        </w:rPr>
        <w:t xml:space="preserve">Note on Stock Price Chart: </w:t>
      </w:r>
      <w:r>
        <w:rPr>
          <w:rFonts w:ascii="Calibri" w:hAnsi="Calibri"/>
          <w:color w:val="525866"/>
          <w:sz w:val="22"/>
        </w:rPr>
        <w:t>DECK daily closing price data since the May 21, 2026 earnings date was not available in the structured data source retrieved for this report (the dataset returned NaN for DECK across all trading days from May 21 through July 21, with only a single data point of $102.47 on July 23, 2026). A performance chart indexed to the May 21 earnings date cannot be constructed without fabricating data. The available reference points are: (1) DECK closed at approximately $113.85 in late May 2026 per the earnings revision momentum data; (2) the stock was trading around $99–$103 in June–July 2026 per the same source; and (3) the current price as of July 22–23, 2026 is approximately $102.47. Over the same period, XLY declined from ~$118.70 (May 21) to ~$114.02 (July 23), and SPY was roughly flat at ~$742–$747.</w:t>
      </w:r>
    </w:p>
    <w:p>
      <w:pPr>
        <w:pStyle w:val="Heading3"/>
      </w:pPr>
      <w:r>
        <w:rPr>
          <w:rFonts w:ascii="Calibri" w:hAnsi="Calibri"/>
          <w:b/>
          <w:color w:val="3B4259"/>
          <w:sz w:val="24"/>
        </w:rPr>
        <w:t>Valuation Multiple Context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Metric</w:t>
            </w:r>
          </w:p>
        </w:tc>
        <w:tc>
          <w:tcPr>
            <w:tcW w:type="dxa" w:w="1440"/>
            <w:shd w:val="clear" w:color="auto" w:fill="3B4259"/>
          </w:tcPr>
          <w:p>
            <w:r>
              <w:rPr>
                <w:rFonts w:ascii="Calibri" w:hAnsi="Calibri"/>
                <w:b/>
                <w:color w:val="FFFFFF"/>
                <w:sz w:val="22"/>
              </w:rPr>
              <w:t>Current (Jul 22, 2026)</w:t>
            </w:r>
          </w:p>
        </w:tc>
        <w:tc>
          <w:tcPr>
            <w:tcW w:type="dxa" w:w="1440"/>
            <w:shd w:val="clear" w:color="auto" w:fill="3B4259"/>
          </w:tcPr>
          <w:p>
            <w:r>
              <w:rPr>
                <w:rFonts w:ascii="Calibri" w:hAnsi="Calibri"/>
                <w:b/>
                <w:color w:val="FFFFFF"/>
                <w:sz w:val="22"/>
              </w:rPr>
              <w:t>1 Month Ago</w:t>
            </w:r>
          </w:p>
        </w:tc>
        <w:tc>
          <w:tcPr>
            <w:tcW w:type="dxa" w:w="1440"/>
            <w:shd w:val="clear" w:color="auto" w:fill="3B4259"/>
          </w:tcPr>
          <w:p>
            <w:r>
              <w:rPr>
                <w:rFonts w:ascii="Calibri" w:hAnsi="Calibri"/>
                <w:b/>
                <w:color w:val="FFFFFF"/>
                <w:sz w:val="22"/>
              </w:rPr>
              <w:t>3 Months Ago</w:t>
            </w:r>
          </w:p>
        </w:tc>
        <w:tc>
          <w:tcPr>
            <w:tcW w:type="dxa" w:w="1440"/>
            <w:shd w:val="clear" w:color="auto" w:fill="3B4259"/>
          </w:tcPr>
          <w:p>
            <w:r>
              <w:rPr>
                <w:rFonts w:ascii="Calibri" w:hAnsi="Calibri"/>
                <w:b/>
                <w:color w:val="FFFFFF"/>
                <w:sz w:val="22"/>
              </w:rPr>
              <w:t>6 Months Ago</w:t>
            </w:r>
          </w:p>
        </w:tc>
        <w:tc>
          <w:tcPr>
            <w:tcW w:type="dxa" w:w="1440"/>
            <w:shd w:val="clear" w:color="auto" w:fill="3B4259"/>
          </w:tcPr>
          <w:p>
            <w:r>
              <w:rPr>
                <w:rFonts w:ascii="Calibri" w:hAnsi="Calibri"/>
                <w:b/>
                <w:color w:val="FFFFFF"/>
                <w:sz w:val="22"/>
              </w:rPr>
              <w:t>12 Months Ago</w:t>
            </w:r>
          </w:p>
        </w:tc>
      </w:tr>
      <w:tr>
        <w:tc>
          <w:tcPr>
            <w:tcW w:type="dxa" w:w="1440"/>
          </w:tcPr>
          <w:p>
            <w:r>
              <w:rPr>
                <w:rFonts w:ascii="Calibri" w:hAnsi="Calibri"/>
                <w:sz w:val="22"/>
              </w:rPr>
              <w:t>NTM P/E</w:t>
            </w:r>
          </w:p>
        </w:tc>
        <w:tc>
          <w:tcPr>
            <w:tcW w:type="dxa" w:w="1440"/>
          </w:tcPr>
          <w:p>
            <w:r>
              <w:rPr>
                <w:rFonts w:ascii="Calibri" w:hAnsi="Calibri"/>
                <w:sz w:val="22"/>
              </w:rPr>
              <w:t>13.4x</w:t>
            </w:r>
          </w:p>
        </w:tc>
        <w:tc>
          <w:tcPr>
            <w:tcW w:type="dxa" w:w="1440"/>
          </w:tcPr>
          <w:p>
            <w:r>
              <w:rPr>
                <w:rFonts w:ascii="Calibri" w:hAnsi="Calibri"/>
                <w:sz w:val="22"/>
              </w:rPr>
              <w:t>14.3x</w:t>
            </w:r>
          </w:p>
        </w:tc>
        <w:tc>
          <w:tcPr>
            <w:tcW w:type="dxa" w:w="1440"/>
          </w:tcPr>
          <w:p>
            <w:r>
              <w:rPr>
                <w:rFonts w:ascii="Calibri" w:hAnsi="Calibri"/>
                <w:sz w:val="22"/>
              </w:rPr>
              <w:t>15.1x</w:t>
            </w:r>
          </w:p>
        </w:tc>
        <w:tc>
          <w:tcPr>
            <w:tcW w:type="dxa" w:w="1440"/>
          </w:tcPr>
          <w:p>
            <w:r>
              <w:rPr>
                <w:rFonts w:ascii="Calibri" w:hAnsi="Calibri"/>
                <w:sz w:val="22"/>
              </w:rPr>
              <w:t>14.9x</w:t>
            </w:r>
          </w:p>
        </w:tc>
        <w:tc>
          <w:tcPr>
            <w:tcW w:type="dxa" w:w="1440"/>
          </w:tcPr>
          <w:p>
            <w:r>
              <w:rPr>
                <w:rFonts w:ascii="Calibri" w:hAnsi="Calibri"/>
                <w:sz w:val="22"/>
              </w:rPr>
              <w:t>16.4x</w:t>
            </w:r>
          </w:p>
        </w:tc>
      </w:tr>
      <w:tr>
        <w:tc>
          <w:tcPr>
            <w:tcW w:type="dxa" w:w="1440"/>
          </w:tcPr>
          <w:p>
            <w:r>
              <w:rPr>
                <w:rFonts w:ascii="Calibri" w:hAnsi="Calibri"/>
                <w:sz w:val="22"/>
              </w:rPr>
              <w:t>NTM EV/EBITDA</w:t>
            </w:r>
          </w:p>
        </w:tc>
        <w:tc>
          <w:tcPr>
            <w:tcW w:type="dxa" w:w="1440"/>
          </w:tcPr>
          <w:p>
            <w:r>
              <w:rPr>
                <w:rFonts w:ascii="Calibri" w:hAnsi="Calibri"/>
                <w:sz w:val="22"/>
              </w:rPr>
              <w:t>9.2x</w:t>
            </w:r>
          </w:p>
        </w:tc>
        <w:tc>
          <w:tcPr>
            <w:tcW w:type="dxa" w:w="1440"/>
          </w:tcPr>
          <w:p>
            <w:r>
              <w:rPr>
                <w:rFonts w:ascii="Calibri" w:hAnsi="Calibri"/>
                <w:sz w:val="22"/>
              </w:rPr>
              <w:t>9.9x</w:t>
            </w:r>
          </w:p>
        </w:tc>
        <w:tc>
          <w:tcPr>
            <w:tcW w:type="dxa" w:w="1440"/>
          </w:tcPr>
          <w:p>
            <w:r>
              <w:rPr>
                <w:rFonts w:ascii="Calibri" w:hAnsi="Calibri"/>
                <w:sz w:val="22"/>
              </w:rPr>
              <w:t>10.3x</w:t>
            </w:r>
          </w:p>
        </w:tc>
        <w:tc>
          <w:tcPr>
            <w:tcW w:type="dxa" w:w="1440"/>
          </w:tcPr>
          <w:p>
            <w:r>
              <w:rPr>
                <w:rFonts w:ascii="Calibri" w:hAnsi="Calibri"/>
                <w:sz w:val="22"/>
              </w:rPr>
              <w:t>10.6x</w:t>
            </w:r>
          </w:p>
        </w:tc>
        <w:tc>
          <w:tcPr>
            <w:tcW w:type="dxa" w:w="1440"/>
          </w:tcPr>
          <w:p>
            <w:r>
              <w:rPr>
                <w:rFonts w:ascii="Calibri" w:hAnsi="Calibri"/>
                <w:sz w:val="22"/>
              </w:rPr>
              <w:t>11.3x</w:t>
            </w:r>
          </w:p>
        </w:tc>
      </w:tr>
      <w:tr>
        <w:tc>
          <w:tcPr>
            <w:tcW w:type="dxa" w:w="1440"/>
          </w:tcPr>
          <w:p>
            <w:r>
              <w:rPr>
                <w:rFonts w:ascii="Calibri" w:hAnsi="Calibri"/>
                <w:sz w:val="22"/>
              </w:rPr>
              <w:t>NTM EV/Sales</w:t>
            </w:r>
          </w:p>
        </w:tc>
        <w:tc>
          <w:tcPr>
            <w:tcW w:type="dxa" w:w="1440"/>
          </w:tcPr>
          <w:p>
            <w:r>
              <w:rPr>
                <w:rFonts w:ascii="Calibri" w:hAnsi="Calibri"/>
                <w:sz w:val="22"/>
              </w:rPr>
              <w:t>2.1x</w:t>
            </w:r>
          </w:p>
        </w:tc>
        <w:tc>
          <w:tcPr>
            <w:tcW w:type="dxa" w:w="1440"/>
          </w:tcPr>
          <w:p>
            <w:r>
              <w:rPr>
                <w:rFonts w:ascii="Calibri" w:hAnsi="Calibri"/>
                <w:sz w:val="22"/>
              </w:rPr>
              <w:t>2.3x</w:t>
            </w:r>
          </w:p>
        </w:tc>
        <w:tc>
          <w:tcPr>
            <w:tcW w:type="dxa" w:w="1440"/>
          </w:tcPr>
          <w:p>
            <w:r>
              <w:rPr>
                <w:rFonts w:ascii="Calibri" w:hAnsi="Calibri"/>
                <w:sz w:val="22"/>
              </w:rPr>
              <w:t>2.4x</w:t>
            </w:r>
          </w:p>
        </w:tc>
        <w:tc>
          <w:tcPr>
            <w:tcW w:type="dxa" w:w="1440"/>
          </w:tcPr>
          <w:p>
            <w:r>
              <w:rPr>
                <w:rFonts w:ascii="Calibri" w:hAnsi="Calibri"/>
                <w:sz w:val="22"/>
              </w:rPr>
              <w:t>2.4x</w:t>
            </w:r>
          </w:p>
        </w:tc>
        <w:tc>
          <w:tcPr>
            <w:tcW w:type="dxa" w:w="1440"/>
          </w:tcPr>
          <w:p>
            <w:r>
              <w:rPr>
                <w:rFonts w:ascii="Calibri" w:hAnsi="Calibri"/>
                <w:sz w:val="22"/>
              </w:rPr>
              <w:t>2.5x</w:t>
            </w:r>
          </w:p>
        </w:tc>
      </w:tr>
      <w:tr>
        <w:tc>
          <w:tcPr>
            <w:tcW w:type="dxa" w:w="1440"/>
          </w:tcPr>
          <w:p>
            <w:r>
              <w:rPr>
                <w:rFonts w:ascii="Calibri" w:hAnsi="Calibri"/>
                <w:sz w:val="22"/>
              </w:rPr>
              <w:t>NTM P/FCF</w:t>
            </w:r>
          </w:p>
        </w:tc>
        <w:tc>
          <w:tcPr>
            <w:tcW w:type="dxa" w:w="1440"/>
          </w:tcPr>
          <w:p>
            <w:r>
              <w:rPr>
                <w:rFonts w:ascii="Calibri" w:hAnsi="Calibri"/>
                <w:sz w:val="22"/>
              </w:rPr>
              <w:t>14.1x</w:t>
            </w:r>
          </w:p>
        </w:tc>
        <w:tc>
          <w:tcPr>
            <w:tcW w:type="dxa" w:w="1440"/>
          </w:tcPr>
          <w:p>
            <w:r>
              <w:rPr>
                <w:rFonts w:ascii="Calibri" w:hAnsi="Calibri"/>
                <w:sz w:val="22"/>
              </w:rPr>
              <w:t>15.0x</w:t>
            </w:r>
          </w:p>
        </w:tc>
        <w:tc>
          <w:tcPr>
            <w:tcW w:type="dxa" w:w="1440"/>
          </w:tcPr>
          <w:p>
            <w:r>
              <w:rPr>
                <w:rFonts w:ascii="Calibri" w:hAnsi="Calibri"/>
                <w:sz w:val="22"/>
              </w:rPr>
              <w:t>15.5x</w:t>
            </w:r>
          </w:p>
        </w:tc>
        <w:tc>
          <w:tcPr>
            <w:tcW w:type="dxa" w:w="1440"/>
          </w:tcPr>
          <w:p>
            <w:r>
              <w:rPr>
                <w:rFonts w:ascii="Calibri" w:hAnsi="Calibri"/>
                <w:sz w:val="22"/>
              </w:rPr>
              <w:t>15.5x</w:t>
            </w:r>
          </w:p>
        </w:tc>
        <w:tc>
          <w:tcPr>
            <w:tcW w:type="dxa" w:w="1440"/>
          </w:tcPr>
          <w:p>
            <w:r>
              <w:rPr>
                <w:rFonts w:ascii="Calibri" w:hAnsi="Calibri"/>
                <w:sz w:val="22"/>
              </w:rPr>
              <w:t>17.8x</w:t>
            </w:r>
          </w:p>
        </w:tc>
      </w:tr>
      <w:tr>
        <w:tc>
          <w:tcPr>
            <w:tcW w:type="dxa" w:w="1440"/>
          </w:tcPr>
          <w:p>
            <w:r>
              <w:rPr>
                <w:rFonts w:ascii="Calibri" w:hAnsi="Calibri"/>
                <w:sz w:val="22"/>
              </w:rPr>
              <w:t>Stock Price (approx.)</w:t>
            </w:r>
          </w:p>
        </w:tc>
        <w:tc>
          <w:tcPr>
            <w:tcW w:type="dxa" w:w="1440"/>
          </w:tcPr>
          <w:p>
            <w:r>
              <w:rPr>
                <w:rFonts w:ascii="Calibri" w:hAnsi="Calibri"/>
                <w:sz w:val="22"/>
              </w:rPr>
              <w:t>~$102.47</w:t>
            </w:r>
          </w:p>
        </w:tc>
        <w:tc>
          <w:tcPr>
            <w:tcW w:type="dxa" w:w="1440"/>
          </w:tcPr>
          <w:p>
            <w:r>
              <w:rPr>
                <w:rFonts w:ascii="Calibri" w:hAnsi="Calibri"/>
                <w:sz w:val="22"/>
              </w:rPr>
              <w:t>~$105</w:t>
            </w:r>
          </w:p>
        </w:tc>
        <w:tc>
          <w:tcPr>
            <w:tcW w:type="dxa" w:w="1440"/>
          </w:tcPr>
          <w:p>
            <w:r>
              <w:rPr>
                <w:rFonts w:ascii="Calibri" w:hAnsi="Calibri"/>
                <w:sz w:val="22"/>
              </w:rPr>
              <w:t>~$110</w:t>
            </w:r>
          </w:p>
        </w:tc>
        <w:tc>
          <w:tcPr>
            <w:tcW w:type="dxa" w:w="1440"/>
          </w:tcPr>
          <w:p>
            <w:r>
              <w:rPr>
                <w:rFonts w:ascii="Calibri" w:hAnsi="Calibri"/>
                <w:sz w:val="22"/>
              </w:rPr>
              <w:t>~$100</w:t>
            </w:r>
          </w:p>
        </w:tc>
        <w:tc>
          <w:tcPr>
            <w:tcW w:type="dxa" w:w="1440"/>
          </w:tcPr>
          <w:p>
            <w:r>
              <w:rPr>
                <w:rFonts w:ascii="Calibri" w:hAnsi="Calibri"/>
                <w:sz w:val="22"/>
              </w:rPr>
              <w:t>~$105</w:t>
            </w:r>
          </w:p>
        </w:tc>
      </w:tr>
    </w:tbl>
    <w:p>
      <w:r>
        <w:rPr>
          <w:rFonts w:ascii="Calibri" w:hAnsi="Calibri"/>
          <w:color w:val="525866"/>
          <w:sz w:val="22"/>
        </w:rPr>
        <w:t>The consistent multiple compression across all horizons — NTM P/E down ~18% over 12 months, EV/EBITDA down ~18%, P/FCF down ~21% — indicates the market has de-rated DECK despite flat-to-rising estimates. This is consistent with broader consumer discretionary sector pressure (XLY down ~4% since May 21) and macro uncertainty around tariffs and consumer spending. At 13.4x NTM earnings, DECK trades at a meaningful discount to its historical range and to the premium it commanded during peak HOKA growth enthusiasm, suggesting the stock is not pricing in execution on the multi-year framework.</w:t>
      </w:r>
    </w:p>
    <w:p>
      <w:r>
        <w:rPr>
          <w:rFonts w:ascii="Calibri" w:hAnsi="Calibri"/>
          <w:i/>
          <w:color w:val="525866"/>
          <w:sz w:val="22"/>
        </w:rPr>
        <w:t xml:space="preserve">Source: </w:t>
      </w:r>
      <w:r>
        <w:rPr>
          <w:rFonts w:ascii="Calibri" w:hAnsi="Calibri"/>
          <w:i/>
          <w:color w:val="525866"/>
          <w:sz w:val="22"/>
        </w:rPr>
        <w:t>Stock performance decomposition data from Implied platform (NTM multiples as of July 22, 2026). Stock price reference points from Visible Alpha earnings revision momentum data and Yahoo Finance (July 23, 2026 close of $102.47).</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May 21 earnings call is the Clifton 11 launch in July, which management explicitly tied to Q1 wholesale timing decisions; early sell-through data on this launch is the single most important read-through for the Q1 print and the FY2027 growth trajectory.</w:t>
      </w:r>
    </w:p>
    <w:p>
      <w:pPr>
        <w:pStyle w:val="ListBullet"/>
        <w:ind w:left="360" w:hanging="360"/>
      </w:pPr>
      <w:r>
        <w:rPr>
          <w:rFonts w:ascii="Calibri" w:hAnsi="Calibri"/>
          <w:b/>
          <w:color w:val="525866"/>
          <w:sz w:val="22"/>
        </w:rPr>
        <w:t xml:space="preserve">July 2026 — HOKA Clifton 11 Launch (Post-Quarter): </w:t>
      </w:r>
      <w:r>
        <w:rPr>
          <w:rFonts w:ascii="Calibri" w:hAnsi="Calibri"/>
          <w:color w:val="525866"/>
          <w:sz w:val="22"/>
        </w:rPr>
        <w:t>Management flagged on the May 21 call that Q1 FY2027 HOKA wholesale shipments were intentionally reduced to clear the marketplace ahead of the Clifton 11 launch in July. The Clifton 11 features a premium engineered mesh upper, and the all-new Clifton Pro adds enhanced technology. This is the most important near-term catalyst for HOKA brand momentum and will be a key topic on the Q1 call. Implication: Strong early sell-through would validate the wholesale timing decision and support the full-year HOKA growth outlook.</w:t>
      </w:r>
    </w:p>
    <w:p>
      <w:pPr>
        <w:pStyle w:val="ListBullet"/>
        <w:ind w:left="360" w:hanging="360"/>
      </w:pPr>
      <w:r>
        <w:rPr>
          <w:rFonts w:ascii="Calibri" w:hAnsi="Calibri"/>
          <w:b/>
          <w:color w:val="525866"/>
          <w:sz w:val="22"/>
        </w:rPr>
        <w:t xml:space="preserve">June 6, 2026 — HOKA Rare Sale Event: </w:t>
      </w:r>
      <w:r>
        <w:rPr>
          <w:rFonts w:ascii="Calibri" w:hAnsi="Calibri"/>
          <w:color w:val="525866"/>
          <w:sz w:val="22"/>
        </w:rPr>
        <w:t>HOKA offered up to 30% off popular styles including the Clifton and Rincon, an unusual promotional event for a brand that rarely discounts. Implication: Could signal inventory management ahead of the Clifton 11 launch, or raise questions about full-price selling discipline — management will likely be asked about this on the call.</w:t>
      </w:r>
    </w:p>
    <w:p>
      <w:pPr>
        <w:pStyle w:val="ListBullet"/>
        <w:ind w:left="360" w:hanging="360"/>
      </w:pPr>
      <w:r>
        <w:rPr>
          <w:rFonts w:ascii="Calibri" w:hAnsi="Calibri"/>
          <w:b/>
          <w:color w:val="525866"/>
          <w:sz w:val="22"/>
        </w:rPr>
        <w:t xml:space="preserve">May 21, 2026 — $3.5B Share Repurchase Authorization Increase: </w:t>
      </w:r>
      <w:r>
        <w:rPr>
          <w:rFonts w:ascii="Calibri" w:hAnsi="Calibri"/>
          <w:color w:val="525866"/>
          <w:sz w:val="22"/>
        </w:rPr>
        <w:t>The Board approved an additional $3.5B buyback, bringing total outstanding authorization to ~$5B. During Q4 FY2026, DECK repurchased ~2.5M shares for $261.6M at $105.61/share. FY2027 EPS guidance assumes repurchase of ~80% of projected FCF. Implication: Aggressive buyback at current prices (~$102) is accretive and signals management confidence in intrinsic value.</w:t>
      </w:r>
    </w:p>
    <w:p>
      <w:pPr>
        <w:pStyle w:val="ListBullet"/>
        <w:ind w:left="360" w:hanging="360"/>
      </w:pPr>
      <w:r>
        <w:rPr>
          <w:rFonts w:ascii="Calibri" w:hAnsi="Calibri"/>
          <w:b/>
          <w:color w:val="525866"/>
          <w:sz w:val="22"/>
        </w:rPr>
        <w:t xml:space="preserve">May 21, 2026 — Multi-Year Framework Through FY2030 Introduced: </w:t>
      </w:r>
      <w:r>
        <w:rPr>
          <w:rFonts w:ascii="Calibri" w:hAnsi="Calibri"/>
          <w:color w:val="525866"/>
          <w:sz w:val="22"/>
        </w:rPr>
        <w:t>Management introduced a formal FY2027–FY2030 framework targeting high single-digit consolidated revenue CAGR, low double-digit HOKA growth, mid-single-digit UGG growth, and low double-digit EPS growth. CFO Fasching explicitly stated this is "not a conservative guide." Implication: This is a significant credibility commitment; any Q1 miss that calls the framework into question would be disproportionately negative for the stock.</w:t>
      </w:r>
    </w:p>
    <w:p>
      <w:pPr>
        <w:pStyle w:val="ListBullet"/>
        <w:ind w:left="360" w:hanging="360"/>
      </w:pPr>
      <w:r>
        <w:rPr>
          <w:rFonts w:ascii="Calibri" w:hAnsi="Calibri"/>
          <w:b/>
          <w:color w:val="525866"/>
          <w:sz w:val="22"/>
        </w:rPr>
        <w:t xml:space="preserve">July 22, 2026 — Nike Tightening China Wholesale Distribution: </w:t>
      </w:r>
      <w:r>
        <w:rPr>
          <w:rFonts w:ascii="Calibri" w:hAnsi="Calibri"/>
          <w:color w:val="525866"/>
          <w:sz w:val="22"/>
        </w:rPr>
        <w:t>Nike announced it will limit wholesale distribution in China to bolster brand positioning and increase full-price sales. Implication: A healthier, less promotional competitive environment in China could benefit HOKA's international expansion, which management has described as two to four years behind the U.S. in brand development.</w:t>
      </w:r>
    </w:p>
    <w:p>
      <w:pPr>
        <w:pStyle w:val="ListBullet"/>
        <w:ind w:left="360" w:hanging="360"/>
      </w:pPr>
      <w:r>
        <w:rPr>
          <w:rFonts w:ascii="Calibri" w:hAnsi="Calibri"/>
          <w:b/>
          <w:color w:val="525866"/>
          <w:sz w:val="22"/>
        </w:rPr>
        <w:t xml:space="preserve">Ongoing — Tariff Environment: </w:t>
      </w:r>
      <w:r>
        <w:rPr>
          <w:rFonts w:ascii="Calibri" w:hAnsi="Calibri"/>
          <w:color w:val="525866"/>
          <w:sz w:val="22"/>
        </w:rPr>
        <w:t>FY2027 guidance assumes a 10% incremental tariff rate for the full year, with H1 inventory sold at higher IEEPA rates already paid (~$120M gross tariffs paid in FY2026). The company is pursuing government refunds but has not included any assumed refund amount in guidance. Tariff lobbying activity surged industry-wide in Q2 2026. Implication: Any tariff relief or refund receipt would be pure upside to guidance; any escalation beyond 10% would be a headwind.</w:t>
      </w:r>
    </w:p>
    <w:p>
      <w:pPr>
        <w:pStyle w:val="ListBullet"/>
        <w:ind w:left="360" w:hanging="360"/>
      </w:pPr>
      <w:r>
        <w:rPr>
          <w:rFonts w:ascii="Calibri" w:hAnsi="Calibri"/>
          <w:b/>
          <w:color w:val="525866"/>
          <w:sz w:val="22"/>
        </w:rPr>
        <w:t xml:space="preserve">Ongoing — Freight / Middle East Disruption: </w:t>
      </w:r>
      <w:r>
        <w:rPr>
          <w:rFonts w:ascii="Calibri" w:hAnsi="Calibri"/>
          <w:color w:val="525866"/>
          <w:sz w:val="22"/>
        </w:rPr>
        <w:t>Management cited "shipping disruption related to the ongoing Middle East conflict" as a primary driver of FY2027 gross margin pressure alongside material upgrades. This is a known headwind already embedded in guidance. Implication: Any improvement in freight rates or Middle East shipping lanes would be a positive gross margin surprise.</w:t>
      </w:r>
    </w:p>
    <w:p>
      <w:pPr>
        <w:pStyle w:val="ListBullet"/>
        <w:ind w:left="360" w:hanging="360"/>
      </w:pPr>
      <w:r>
        <w:rPr>
          <w:rFonts w:ascii="Calibri" w:hAnsi="Calibri"/>
          <w:b/>
          <w:color w:val="525866"/>
          <w:sz w:val="22"/>
        </w:rPr>
        <w:t xml:space="preserve">July 15, 2026 — Richemont Q1 FY2027 Sales +20% (Fixed FX): </w:t>
      </w:r>
      <w:r>
        <w:rPr>
          <w:rFonts w:ascii="Calibri" w:hAnsi="Calibri"/>
          <w:color w:val="525866"/>
          <w:sz w:val="22"/>
        </w:rPr>
        <w:t>Richemont reported very strong Q1 FY2027 sales growth of +20% on a fixed exchange rate basis, nearly double the Street's +11.1% forecast, with all geographies exceeding expectations (Americas +27%, Asia Pacific +21%, Japan +36%). Implication: Signals robust demand for premium/luxury goods globally, a positive read-through for HOKA and UGG's premium positioning.</w:t>
      </w:r>
    </w:p>
    <w:p>
      <w:pPr>
        <w:pStyle w:val="ListBullet"/>
        <w:ind w:left="360" w:hanging="360"/>
      </w:pPr>
      <w:r>
        <w:rPr>
          <w:rFonts w:ascii="Calibri" w:hAnsi="Calibri"/>
          <w:b/>
          <w:color w:val="525866"/>
          <w:sz w:val="22"/>
        </w:rPr>
        <w:t xml:space="preserve">July 14, 2026 — Watches of Switzerland: US Demand Healthy: </w:t>
      </w:r>
      <w:r>
        <w:rPr>
          <w:rFonts w:ascii="Calibri" w:hAnsi="Calibri"/>
          <w:color w:val="525866"/>
          <w:sz w:val="22"/>
        </w:rPr>
        <w:t>Watches of Switzerland reported that US demand remains healthy while observing encouraging signs of improvement in the UK. Implication: Supports the view that premium consumer spending in the US has not deteriorated materially, consistent with DECK's "buy now, wear now" consumer commentary.</w:t>
      </w:r>
    </w:p>
    <w:p>
      <w:r>
        <w:br w:type="page"/>
      </w:r>
    </w:p>
    <w:p>
      <w:pPr>
        <w:pStyle w:val="Heading2"/>
      </w:pPr>
      <w:r>
        <w:rPr>
          <w:rFonts w:ascii="Calibri" w:hAnsi="Calibri"/>
          <w:b/>
          <w:color w:val="3B4259"/>
          <w:sz w:val="28"/>
        </w:rPr>
        <w:t>7. Peer Commentary &amp; Current-Quarter Read-Through</w:t>
      </w:r>
    </w:p>
    <w:p>
      <w:r>
        <w:rPr>
          <w:rFonts w:ascii="Calibri" w:hAnsi="Calibri"/>
          <w:b/>
          <w:color w:val="525866"/>
          <w:sz w:val="22"/>
        </w:rPr>
        <w:t xml:space="preserve">Key Takeaway: </w:t>
      </w:r>
      <w:r>
        <w:rPr>
          <w:rFonts w:ascii="Calibri" w:hAnsi="Calibri"/>
          <w:color w:val="525866"/>
          <w:sz w:val="22"/>
        </w:rPr>
        <w:t>Peer commentary from the last 60 days that addresses the current reporting period (Q1 FY2027, ending June 30, 2026) or forward outlook is mixed but directionally constructive for HOKA and cautionary for UGG: performance footwear remains strong while lifestyle/sportswear faces continued pressure, and the industry is broadly managing through tariff and freight headwinds with pricing power as the key differentiator.</w:t>
      </w:r>
    </w:p>
    <w:p>
      <w:r>
        <w:rPr>
          <w:rFonts w:ascii="Calibri" w:hAnsi="Calibri"/>
          <w:i/>
          <w:color w:val="525866"/>
          <w:sz w:val="22"/>
        </w:rPr>
        <w:t xml:space="preserve">Methodology note: </w:t>
      </w:r>
      <w:r>
        <w:rPr>
          <w:rFonts w:ascii="Calibri" w:hAnsi="Calibri"/>
          <w:i/>
          <w:color w:val="525866"/>
          <w:sz w:val="22"/>
        </w:rPr>
        <w:t>Only commentary published in the last 60 days (on or after May 22, 2026) that addresses the peer's then-current or forward reporting period is included below. Retrospective commentary about completed peer quarters is excluded. BIRK's July 15 filing was solely an earnings date announcement with no operational commentary and is therefore excluded.</w:t>
      </w:r>
    </w:p>
    <w:p>
      <w:pPr>
        <w:pStyle w:val="Heading3"/>
      </w:pPr>
      <w:r>
        <w:rPr>
          <w:rFonts w:ascii="Calibri" w:hAnsi="Calibri"/>
          <w:b/>
          <w:color w:val="3B4259"/>
          <w:sz w:val="24"/>
        </w:rPr>
        <w:t>Nike (NKE) — Q4 FY2026 Earnings Call (June 30, 2026)</w:t>
      </w:r>
    </w:p>
    <w:p>
      <w:r>
        <w:rPr>
          <w:rFonts w:ascii="Calibri" w:hAnsi="Calibri"/>
          <w:i/>
          <w:color w:val="525866"/>
          <w:sz w:val="22"/>
        </w:rPr>
        <w:t>Reporting period: NKE Q4 FY2026 (quarter ended May 31, 2026). Commentary below addresses NKE's forward outlook for FY2027 (starting June 2026) and current business trends, which are directly relevant to DECK's Q1 FY2027 (ending June 30, 2026).</w:t>
      </w:r>
    </w:p>
    <w:p>
      <w:pPr>
        <w:pStyle w:val="ListBullet"/>
        <w:ind w:left="360" w:hanging="360"/>
      </w:pPr>
      <w:r>
        <w:rPr>
          <w:rFonts w:ascii="Calibri" w:hAnsi="Calibri"/>
          <w:b/>
          <w:color w:val="525866"/>
          <w:sz w:val="22"/>
        </w:rPr>
        <w:t xml:space="preserve">Performance Footwear Remains Strong; Lifestyle/Sportswear Weak: </w:t>
      </w:r>
      <w:r>
        <w:rPr>
          <w:rFonts w:ascii="Calibri" w:hAnsi="Calibri"/>
          <w:color w:val="525866"/>
          <w:sz w:val="22"/>
        </w:rPr>
        <w:t xml:space="preserve">Nike reported "five consecutive quarters of double-digit growth in Nike running" and gained "five points of running market share in statement footwear" in FY2026 across Western Europe and North America. However, sportswear "declined double digits in the quarter" and Nike expects "sportswear and Jordan streetwear to continue to be negative this fiscal year, with improvement expected in the back half." </w:t>
      </w:r>
      <w:r>
        <w:rPr>
          <w:rFonts w:ascii="Calibri" w:hAnsi="Calibri"/>
          <w:b/>
          <w:color w:val="525866"/>
          <w:sz w:val="22"/>
        </w:rPr>
        <w:t xml:space="preserve">DECK Read-Through: </w:t>
      </w:r>
      <w:r>
        <w:rPr>
          <w:rFonts w:ascii="Calibri" w:hAnsi="Calibri"/>
          <w:color w:val="525866"/>
          <w:sz w:val="22"/>
        </w:rPr>
        <w:t>Strongly positive for HOKA (performance running category remains robust and gaining share); cautionary for UGG (lifestyle/fashion footwear under pressure). The bifurcation between performance and lifestyle is the most important industry-level signal for DECK's two-brand portfolio.</w:t>
      </w:r>
    </w:p>
    <w:p>
      <w:pPr>
        <w:pStyle w:val="ListBullet"/>
        <w:ind w:left="360" w:hanging="360"/>
      </w:pPr>
      <w:r>
        <w:rPr>
          <w:rFonts w:ascii="Calibri" w:hAnsi="Calibri"/>
          <w:b/>
          <w:color w:val="525866"/>
          <w:sz w:val="22"/>
        </w:rPr>
        <w:t xml:space="preserve">Consumer Under Pressure; Deceleration in Late April: </w:t>
      </w:r>
      <w:r>
        <w:rPr>
          <w:rFonts w:ascii="Calibri" w:hAnsi="Calibri"/>
          <w:color w:val="525866"/>
          <w:sz w:val="22"/>
        </w:rPr>
        <w:t xml:space="preserve">Nike noted that "after a stronger start in March, especially in North America, by mid-April, we began to see a deceleration in retail sales trends." The consumer is "under pressure around the world" with a "larger impact on sportswear." Nike cited "impacting traffic and discretionary spend" as the mechanism. </w:t>
      </w:r>
      <w:r>
        <w:rPr>
          <w:rFonts w:ascii="Calibri" w:hAnsi="Calibri"/>
          <w:b/>
          <w:color w:val="525866"/>
          <w:sz w:val="22"/>
        </w:rPr>
        <w:t xml:space="preserve">DECK Read-Through: </w:t>
      </w:r>
      <w:r>
        <w:rPr>
          <w:rFonts w:ascii="Calibri" w:hAnsi="Calibri"/>
          <w:color w:val="525866"/>
          <w:sz w:val="22"/>
        </w:rPr>
        <w:t>The April deceleration in North America is a potential headwind for DECK's Q1 FY2027 (April–June quarter). However, HOKA's performance positioning and UGG's event-driven purchasing patterns may provide some insulation. Management's "buy now, wear now" consumer commentary from May 21 suggests DECK was not seeing the same deceleration at the time of guidance.</w:t>
      </w:r>
    </w:p>
    <w:p>
      <w:pPr>
        <w:pStyle w:val="ListBullet"/>
        <w:ind w:left="360" w:hanging="360"/>
      </w:pPr>
      <w:r>
        <w:rPr>
          <w:rFonts w:ascii="Calibri" w:hAnsi="Calibri"/>
          <w:b/>
          <w:color w:val="525866"/>
          <w:sz w:val="22"/>
        </w:rPr>
        <w:t xml:space="preserve">Full-Price Selling Improving Across the Industry: </w:t>
      </w:r>
      <w:r>
        <w:rPr>
          <w:rFonts w:ascii="Calibri" w:hAnsi="Calibri"/>
          <w:color w:val="525866"/>
          <w:sz w:val="22"/>
        </w:rPr>
        <w:t xml:space="preserve">Nike is "discounting less on Nike Digital" and in EMEA, "off price was down over 50% following aggressive actions to reduce promotions," resulting in "a 15 point improvement in full price realization." Nike is "monitoring marketplace inventory and promotions closely." </w:t>
      </w:r>
      <w:r>
        <w:rPr>
          <w:rFonts w:ascii="Calibri" w:hAnsi="Calibri"/>
          <w:b/>
          <w:color w:val="525866"/>
          <w:sz w:val="22"/>
        </w:rPr>
        <w:t xml:space="preserve">DECK Read-Through: </w:t>
      </w:r>
      <w:r>
        <w:rPr>
          <w:rFonts w:ascii="Calibri" w:hAnsi="Calibri"/>
          <w:color w:val="525866"/>
          <w:sz w:val="22"/>
        </w:rPr>
        <w:t>A less promotional competitive environment is structurally positive for HOKA and UGG's full-price selling strategy. DECK's Q4 FY2026 gross margin outperformance was driven by higher full-price selling; if the industry continues to reduce promotions, this tailwind could persist into Q1 FY2027 and partially offset the tariff/freight headwinds.</w:t>
      </w:r>
    </w:p>
    <w:p>
      <w:pPr>
        <w:pStyle w:val="ListBullet"/>
        <w:ind w:left="360" w:hanging="360"/>
      </w:pPr>
      <w:r>
        <w:rPr>
          <w:rFonts w:ascii="Calibri" w:hAnsi="Calibri"/>
          <w:b/>
          <w:color w:val="525866"/>
          <w:sz w:val="22"/>
        </w:rPr>
        <w:t xml:space="preserve">Tariff Assumptions: 10% Through July, Then 15%: </w:t>
      </w:r>
      <w:r>
        <w:rPr>
          <w:rFonts w:ascii="Calibri" w:hAnsi="Calibri"/>
          <w:color w:val="525866"/>
          <w:sz w:val="22"/>
        </w:rPr>
        <w:t xml:space="preserve">Nike's FY2027 forecast is based on "incremental tariff rates of 10% continuing through the end of July, and then increasing to 15% thereafter." Nike expects "gross margin expansion earlier beginning in Q1" and reiterates "earnings to be flattish over that time period, excluding the benefit from tariff recovery." </w:t>
      </w:r>
      <w:r>
        <w:rPr>
          <w:rFonts w:ascii="Calibri" w:hAnsi="Calibri"/>
          <w:b/>
          <w:color w:val="525866"/>
          <w:sz w:val="22"/>
        </w:rPr>
        <w:t xml:space="preserve">DECK Read-Through: </w:t>
      </w:r>
      <w:r>
        <w:rPr>
          <w:rFonts w:ascii="Calibri" w:hAnsi="Calibri"/>
          <w:color w:val="525866"/>
          <w:sz w:val="22"/>
        </w:rPr>
        <w:t>DECK's guidance also assumes 10% tariff rate for the full year. Nike's assumption of a rate increase to 15% after July is a risk scenario for DECK's H2 FY2027 gross margin that is not currently embedded in DECK's guidance. If tariffs escalate, DECK's FY2027 EPS guidance could face downside risk.</w:t>
      </w:r>
    </w:p>
    <w:p>
      <w:pPr>
        <w:pStyle w:val="ListBullet"/>
        <w:ind w:left="360" w:hanging="360"/>
      </w:pPr>
      <w:r>
        <w:rPr>
          <w:rFonts w:ascii="Calibri" w:hAnsi="Calibri"/>
          <w:b/>
          <w:color w:val="525866"/>
          <w:sz w:val="22"/>
        </w:rPr>
        <w:t xml:space="preserve">China: Continued Pressure, Inventory Cleanup Ongoing: </w:t>
      </w:r>
      <w:r>
        <w:rPr>
          <w:rFonts w:ascii="Calibri" w:hAnsi="Calibri"/>
          <w:color w:val="525866"/>
          <w:sz w:val="22"/>
        </w:rPr>
        <w:t xml:space="preserve">Nike's Greater China Q4 revenue "declined 17%" with inventory "down double digits." Nike expects "revenue trends in Greater China over the near term to be in line with recent performance" and is "fully committed to winning" in China long-term. </w:t>
      </w:r>
      <w:r>
        <w:rPr>
          <w:rFonts w:ascii="Calibri" w:hAnsi="Calibri"/>
          <w:b/>
          <w:color w:val="525866"/>
          <w:sz w:val="22"/>
        </w:rPr>
        <w:t xml:space="preserve">DECK Read-Through: </w:t>
      </w:r>
      <w:r>
        <w:rPr>
          <w:rFonts w:ascii="Calibri" w:hAnsi="Calibri"/>
          <w:color w:val="525866"/>
          <w:sz w:val="22"/>
        </w:rPr>
        <w:t>HOKA's China/international business is described by management as two to four years behind the U.S. in brand development, with ~40% brand awareness internationally vs. ~60% in the U.S. Nike's China struggles are partly brand-specific (marketplace cleanup, reduced classics), but the broader consumer environment in China remains challenging. HOKA's earlier-stage development in China may provide some insulation from the same dynamics.</w:t>
      </w:r>
    </w:p>
    <w:p>
      <w:pPr>
        <w:pStyle w:val="ListBullet"/>
        <w:ind w:left="360" w:hanging="360"/>
      </w:pPr>
      <w:r>
        <w:rPr>
          <w:rFonts w:ascii="Calibri" w:hAnsi="Calibri"/>
          <w:b/>
          <w:color w:val="525866"/>
          <w:sz w:val="22"/>
        </w:rPr>
        <w:t xml:space="preserve">Wholesale Inventory Management: Cautious Retailer Posture: </w:t>
      </w:r>
      <w:r>
        <w:rPr>
          <w:rFonts w:ascii="Calibri" w:hAnsi="Calibri"/>
          <w:color w:val="525866"/>
          <w:sz w:val="22"/>
        </w:rPr>
        <w:t xml:space="preserve">Nike is "taking actions to tighten bias, reduce future selling, and manage inventory," which "will result in revenue moderating but also higher gross margins." EMEA inventory "was up low double digits, with actions in place to reduce supply and accelerate liquidation." </w:t>
      </w:r>
      <w:r>
        <w:rPr>
          <w:rFonts w:ascii="Calibri" w:hAnsi="Calibri"/>
          <w:b/>
          <w:color w:val="525866"/>
          <w:sz w:val="22"/>
        </w:rPr>
        <w:t xml:space="preserve">DECK Read-Through: </w:t>
      </w:r>
      <w:r>
        <w:rPr>
          <w:rFonts w:ascii="Calibri" w:hAnsi="Calibri"/>
          <w:color w:val="525866"/>
          <w:sz w:val="22"/>
        </w:rPr>
        <w:t>Cautious wholesale partner posture is consistent with DECK management's own commentary about Q1 HOKA wholesale timing headwinds. The industry-wide inventory discipline, if sustained, supports full-price selling and healthier channel economics for DECK in H2 FY2027.</w:t>
      </w:r>
    </w:p>
    <w:p>
      <w:r>
        <w:rPr>
          <w:rFonts w:ascii="Calibri" w:hAnsi="Calibri"/>
          <w:i/>
          <w:color w:val="525866"/>
          <w:sz w:val="22"/>
        </w:rPr>
        <w:t xml:space="preserve">Source: </w:t>
      </w:r>
      <w:r>
        <w:rPr>
          <w:rFonts w:ascii="Calibri" w:hAnsi="Calibri"/>
          <w:i/>
          <w:color w:val="525866"/>
          <w:sz w:val="22"/>
        </w:rPr>
        <w:t>NKE Q4 FY2026 Earnings Call transcript (June 30, 2026), retrieved from financial documents database.</w:t>
      </w:r>
    </w:p>
    <w:p>
      <w:pPr>
        <w:pStyle w:val="Heading3"/>
      </w:pPr>
      <w:r>
        <w:rPr>
          <w:rFonts w:ascii="Calibri" w:hAnsi="Calibri"/>
          <w:b/>
          <w:color w:val="3B4259"/>
          <w:sz w:val="24"/>
        </w:rPr>
        <w:t>Crocs (CROX) — Baird Global Consumer, Tech &amp; Services Conference (June 3, 2026)</w:t>
      </w:r>
    </w:p>
    <w:p>
      <w:r>
        <w:rPr>
          <w:rFonts w:ascii="Calibri" w:hAnsi="Calibri"/>
          <w:i/>
          <w:color w:val="525866"/>
          <w:sz w:val="22"/>
        </w:rPr>
        <w:t>Reporting period: CROX commentary at the Baird conference on June 3, 2026 addresses CROX's then-current FY2026 outlook and forward business trends, which overlap with DECK's Q1 FY2027 (April–June 2026) period.</w:t>
      </w:r>
    </w:p>
    <w:p>
      <w:pPr>
        <w:pStyle w:val="ListBullet"/>
        <w:ind w:left="360" w:hanging="360"/>
      </w:pPr>
      <w:r>
        <w:rPr>
          <w:rFonts w:ascii="Calibri" w:hAnsi="Calibri"/>
          <w:b/>
          <w:color w:val="525866"/>
          <w:sz w:val="22"/>
        </w:rPr>
        <w:t xml:space="preserve">Consumer Pressure Acknowledged; Price-to-Value Proposition Key: </w:t>
      </w:r>
      <w:r>
        <w:rPr>
          <w:rFonts w:ascii="Calibri" w:hAnsi="Calibri"/>
          <w:color w:val="525866"/>
          <w:sz w:val="22"/>
        </w:rPr>
        <w:t xml:space="preserve">Crocs acknowledged "pressure on the consumer" from a macro standpoint entering 2026 but expressed confidence in its "positioning within the consumer space from a pricing standpoint and a price-to-value perspective." </w:t>
      </w:r>
      <w:r>
        <w:rPr>
          <w:rFonts w:ascii="Calibri" w:hAnsi="Calibri"/>
          <w:b/>
          <w:color w:val="525866"/>
          <w:sz w:val="22"/>
        </w:rPr>
        <w:t xml:space="preserve">DECK Read-Through: </w:t>
      </w:r>
      <w:r>
        <w:rPr>
          <w:rFonts w:ascii="Calibri" w:hAnsi="Calibri"/>
          <w:color w:val="525866"/>
          <w:sz w:val="22"/>
        </w:rPr>
        <w:t>Consistent with DECK's own commentary about consumers continuing to "show up for brands they want." Both companies are betting that strong brand equity and perceived value insulate them from broader consumer spending pressure. The key question for DECK is whether HOKA's premium performance positioning and UGG's comfort/lifestyle appeal are sufficiently differentiated to sustain demand in a pressured environment.</w:t>
      </w:r>
    </w:p>
    <w:p>
      <w:pPr>
        <w:pStyle w:val="ListBullet"/>
        <w:ind w:left="360" w:hanging="360"/>
      </w:pPr>
      <w:r>
        <w:rPr>
          <w:rFonts w:ascii="Calibri" w:hAnsi="Calibri"/>
          <w:b/>
          <w:color w:val="525866"/>
          <w:sz w:val="22"/>
        </w:rPr>
        <w:t xml:space="preserve">DTC Leading Growth; Wholesale Lagging by Design: </w:t>
      </w:r>
      <w:r>
        <w:rPr>
          <w:rFonts w:ascii="Calibri" w:hAnsi="Calibri"/>
          <w:color w:val="525866"/>
          <w:sz w:val="22"/>
        </w:rPr>
        <w:t xml:space="preserve">Crocs expects DTC channels (digital, social, direct stores) to lead growth in 2026, with wholesale "going to lag" due to a "couple of season lag in terms of wholesale partners investing in some of that newness." Crocs observed "at-once business" (smaller, more frequent wholesale orders) taking off before larger buy commitments. </w:t>
      </w:r>
      <w:r>
        <w:rPr>
          <w:rFonts w:ascii="Calibri" w:hAnsi="Calibri"/>
          <w:b/>
          <w:color w:val="525866"/>
          <w:sz w:val="22"/>
        </w:rPr>
        <w:t xml:space="preserve">DECK Read-Through: </w:t>
      </w:r>
      <w:r>
        <w:rPr>
          <w:rFonts w:ascii="Calibri" w:hAnsi="Calibri"/>
          <w:color w:val="525866"/>
          <w:sz w:val="22"/>
        </w:rPr>
        <w:t>Directly corroborates DECK management's Q1 FY2027 commentary about HOKA wholesale timing headwinds. The industry-wide pattern of wholesale partners being cautious with forward commitments while DTC remains strong is consistent with DECK's Q1 setup. DECK's HOKA DTC is expected to grow faster than wholesale in Q1, which is the same dynamic Crocs is experiencing.</w:t>
      </w:r>
    </w:p>
    <w:p>
      <w:pPr>
        <w:pStyle w:val="ListBullet"/>
        <w:ind w:left="360" w:hanging="360"/>
      </w:pPr>
      <w:r>
        <w:rPr>
          <w:rFonts w:ascii="Calibri" w:hAnsi="Calibri"/>
          <w:b/>
          <w:color w:val="525866"/>
          <w:sz w:val="22"/>
        </w:rPr>
        <w:t xml:space="preserve">Inventory Cleanup Completed; New Innovation Driving Recovery: </w:t>
      </w:r>
      <w:r>
        <w:rPr>
          <w:rFonts w:ascii="Calibri" w:hAnsi="Calibri"/>
          <w:color w:val="525866"/>
          <w:sz w:val="22"/>
        </w:rPr>
        <w:t xml:space="preserve">Crocs took "short-term painful decisions" in H2 2025 to address excess marketplace inventory, positioning for "new innovation coming in the first part of 2026." The company has "quite a bit of new innovation coming in the first part of 2026 for both of our brands." </w:t>
      </w:r>
      <w:r>
        <w:rPr>
          <w:rFonts w:ascii="Calibri" w:hAnsi="Calibri"/>
          <w:b/>
          <w:color w:val="525866"/>
          <w:sz w:val="22"/>
        </w:rPr>
        <w:t xml:space="preserve">DECK Read-Through: </w:t>
      </w:r>
      <w:r>
        <w:rPr>
          <w:rFonts w:ascii="Calibri" w:hAnsi="Calibri"/>
          <w:color w:val="525866"/>
          <w:sz w:val="22"/>
        </w:rPr>
        <w:t>DECK's own inventory cleanup (inventory down 2% YoY at March 31, 2026) and the Clifton 11 launch in July follow the same playbook: clear the marketplace, then launch new product into a clean channel. This is a positive structural setup for HOKA's H2 FY2027 performance.</w:t>
      </w:r>
    </w:p>
    <w:p>
      <w:pPr>
        <w:pStyle w:val="ListBullet"/>
        <w:ind w:left="360" w:hanging="360"/>
      </w:pPr>
      <w:r>
        <w:rPr>
          <w:rFonts w:ascii="Calibri" w:hAnsi="Calibri"/>
          <w:b/>
          <w:color w:val="525866"/>
          <w:sz w:val="22"/>
        </w:rPr>
        <w:t xml:space="preserve">International Runway Significant; China Only 4% of Global Sales: </w:t>
      </w:r>
      <w:r>
        <w:rPr>
          <w:rFonts w:ascii="Calibri" w:hAnsi="Calibri"/>
          <w:color w:val="525866"/>
          <w:sz w:val="22"/>
        </w:rPr>
        <w:t xml:space="preserve">Crocs noted that China is its "second largest international market, but it accounts for just 4% of our global sales," indicating "a lot of runway internationally with both brands." International accounts for "half of Crocs revenue globally" with many markets in a "nascent place of marketplace development." </w:t>
      </w:r>
      <w:r>
        <w:rPr>
          <w:rFonts w:ascii="Calibri" w:hAnsi="Calibri"/>
          <w:b/>
          <w:color w:val="525866"/>
          <w:sz w:val="22"/>
        </w:rPr>
        <w:t xml:space="preserve">DECK Read-Through: </w:t>
      </w:r>
      <w:r>
        <w:rPr>
          <w:rFonts w:ascii="Calibri" w:hAnsi="Calibri"/>
          <w:color w:val="525866"/>
          <w:sz w:val="22"/>
        </w:rPr>
        <w:t>HOKA's international opportunity is similarly large and underpenetrated. Management has quantified HOKA brand awareness at ~40% internationally vs. ~60% in the U.S., framing international as two to four years behind the U.S. in brand development. Crocs' experience suggests the international ramp can be substantial once brand awareness reaches critical mass.</w:t>
      </w:r>
    </w:p>
    <w:p>
      <w:pPr>
        <w:pStyle w:val="ListBullet"/>
        <w:ind w:left="360" w:hanging="360"/>
      </w:pPr>
      <w:r>
        <w:rPr>
          <w:rFonts w:ascii="Calibri" w:hAnsi="Calibri"/>
          <w:b/>
          <w:color w:val="525866"/>
          <w:sz w:val="22"/>
        </w:rPr>
        <w:t xml:space="preserve">Freight and Tariff Headwinds: Manageable but Monitored: </w:t>
      </w:r>
      <w:r>
        <w:rPr>
          <w:rFonts w:ascii="Calibri" w:hAnsi="Calibri"/>
          <w:color w:val="525866"/>
          <w:sz w:val="22"/>
        </w:rPr>
        <w:t xml:space="preserve">Crocs raised its guidance after Q1 despite "uncertainty with the Middle East and freight and tariffs and health of the consumer," stating they "fully contemplated all of that in terms of our guide." Freight headwinds from "fuel prices, both outbound, inbound" are "not super significant" for 2026 but are being monitored. The Iranian conflict disrupted Middle East distributor operations. </w:t>
      </w:r>
      <w:r>
        <w:rPr>
          <w:rFonts w:ascii="Calibri" w:hAnsi="Calibri"/>
          <w:b/>
          <w:color w:val="525866"/>
          <w:sz w:val="22"/>
        </w:rPr>
        <w:t xml:space="preserve">DECK Read-Through: </w:t>
      </w:r>
      <w:r>
        <w:rPr>
          <w:rFonts w:ascii="Calibri" w:hAnsi="Calibri"/>
          <w:color w:val="525866"/>
          <w:sz w:val="22"/>
        </w:rPr>
        <w:t>Crocs' ability to raise guidance despite these headwinds is a positive signal that the industry can manage through the current cost environment. DECK's guidance similarly embeds these headwinds; the question is whether actual freight and tariff costs come in better or worse than assumed. The Middle East shipping disruption is a shared headwind for both companies.</w:t>
      </w:r>
    </w:p>
    <w:p>
      <w:r>
        <w:rPr>
          <w:rFonts w:ascii="Calibri" w:hAnsi="Calibri"/>
          <w:i/>
          <w:color w:val="525866"/>
          <w:sz w:val="22"/>
        </w:rPr>
        <w:t xml:space="preserve">Source: </w:t>
      </w:r>
      <w:r>
        <w:rPr>
          <w:rFonts w:ascii="Calibri" w:hAnsi="Calibri"/>
          <w:i/>
          <w:color w:val="525866"/>
          <w:sz w:val="22"/>
        </w:rPr>
        <w:t>CROX Baird Global Consumer, Tech &amp; Services Conference transcript (June 3, 2026), retrieved from financial documents database.</w:t>
      </w:r>
    </w:p>
    <w:p>
      <w:pPr>
        <w:pStyle w:val="Heading3"/>
      </w:pPr>
      <w:r>
        <w:rPr>
          <w:rFonts w:ascii="Calibri" w:hAnsi="Calibri"/>
          <w:b/>
          <w:color w:val="3B4259"/>
          <w:sz w:val="24"/>
        </w:rPr>
        <w:t>Summary Read-Through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NKE Signal</w:t>
            </w:r>
          </w:p>
        </w:tc>
        <w:tc>
          <w:tcPr>
            <w:tcW w:type="dxa" w:w="2160"/>
            <w:shd w:val="clear" w:color="auto" w:fill="3B4259"/>
          </w:tcPr>
          <w:p>
            <w:r>
              <w:rPr>
                <w:rFonts w:ascii="Calibri" w:hAnsi="Calibri"/>
                <w:b/>
                <w:color w:val="FFFFFF"/>
                <w:sz w:val="22"/>
              </w:rPr>
              <w:t>CROX Signal</w:t>
            </w:r>
          </w:p>
        </w:tc>
        <w:tc>
          <w:tcPr>
            <w:tcW w:type="dxa" w:w="2160"/>
            <w:shd w:val="clear" w:color="auto" w:fill="3B4259"/>
          </w:tcPr>
          <w:p>
            <w:r>
              <w:rPr>
                <w:rFonts w:ascii="Calibri" w:hAnsi="Calibri"/>
                <w:b/>
                <w:color w:val="FFFFFF"/>
                <w:sz w:val="22"/>
              </w:rPr>
              <w:t>DECK Implication</w:t>
            </w:r>
          </w:p>
        </w:tc>
      </w:tr>
      <w:tr>
        <w:tc>
          <w:tcPr>
            <w:tcW w:type="dxa" w:w="2160"/>
          </w:tcPr>
          <w:p>
            <w:r>
              <w:rPr>
                <w:rFonts w:ascii="Calibri" w:hAnsi="Calibri"/>
                <w:sz w:val="22"/>
              </w:rPr>
              <w:t>Performance Footwear Demand</w:t>
            </w:r>
          </w:p>
        </w:tc>
        <w:tc>
          <w:tcPr>
            <w:tcW w:type="dxa" w:w="2160"/>
          </w:tcPr>
          <w:p>
            <w:r>
              <w:rPr>
                <w:rFonts w:ascii="Calibri" w:hAnsi="Calibri"/>
                <w:b/>
                <w:color w:val="30A46C"/>
                <w:sz w:val="22"/>
              </w:rPr>
              <w:t>Strong — 5 consecutive qtrs of double-digit running growth</w:t>
            </w:r>
          </w:p>
        </w:tc>
        <w:tc>
          <w:tcPr>
            <w:tcW w:type="dxa" w:w="2160"/>
          </w:tcPr>
          <w:p>
            <w:r>
              <w:rPr>
                <w:rFonts w:ascii="Calibri" w:hAnsi="Calibri"/>
                <w:sz w:val="22"/>
              </w:rPr>
              <w:t>Positive — innovation driving recovery</w:t>
            </w:r>
          </w:p>
        </w:tc>
        <w:tc>
          <w:tcPr>
            <w:tcW w:type="dxa" w:w="2160"/>
          </w:tcPr>
          <w:p>
            <w:r>
              <w:rPr>
                <w:rFonts w:ascii="Calibri" w:hAnsi="Calibri"/>
                <w:sz w:val="22"/>
              </w:rPr>
              <w:t>Positive for HOKA; running category gaining share</w:t>
            </w:r>
          </w:p>
        </w:tc>
      </w:tr>
      <w:tr>
        <w:tc>
          <w:tcPr>
            <w:tcW w:type="dxa" w:w="2160"/>
          </w:tcPr>
          <w:p>
            <w:r>
              <w:rPr>
                <w:rFonts w:ascii="Calibri" w:hAnsi="Calibri"/>
                <w:sz w:val="22"/>
              </w:rPr>
              <w:t>Lifestyle/Sportswear Demand</w:t>
            </w:r>
          </w:p>
        </w:tc>
        <w:tc>
          <w:tcPr>
            <w:tcW w:type="dxa" w:w="2160"/>
          </w:tcPr>
          <w:p>
            <w:r>
              <w:rPr>
                <w:rFonts w:ascii="Calibri" w:hAnsi="Calibri"/>
                <w:b/>
                <w:color w:val="E5484D"/>
                <w:sz w:val="22"/>
              </w:rPr>
              <w:t>Weak — sportswear down double digits</w:t>
            </w:r>
          </w:p>
        </w:tc>
        <w:tc>
          <w:tcPr>
            <w:tcW w:type="dxa" w:w="2160"/>
          </w:tcPr>
          <w:p>
            <w:r>
              <w:rPr>
                <w:rFonts w:ascii="Calibri" w:hAnsi="Calibri"/>
                <w:sz w:val="22"/>
              </w:rPr>
              <w:t>Mixed — HEYDUDE still declining</w:t>
            </w:r>
          </w:p>
        </w:tc>
        <w:tc>
          <w:tcPr>
            <w:tcW w:type="dxa" w:w="2160"/>
          </w:tcPr>
          <w:p>
            <w:r>
              <w:rPr>
                <w:rFonts w:ascii="Calibri" w:hAnsi="Calibri"/>
                <w:sz w:val="22"/>
              </w:rPr>
              <w:t>Cautionary for UGG; lifestyle category under pressure</w:t>
            </w:r>
          </w:p>
        </w:tc>
      </w:tr>
      <w:tr>
        <w:tc>
          <w:tcPr>
            <w:tcW w:type="dxa" w:w="2160"/>
          </w:tcPr>
          <w:p>
            <w:r>
              <w:rPr>
                <w:rFonts w:ascii="Calibri" w:hAnsi="Calibri"/>
                <w:sz w:val="22"/>
              </w:rPr>
              <w:t>US Consumer Health</w:t>
            </w:r>
          </w:p>
        </w:tc>
        <w:tc>
          <w:tcPr>
            <w:tcW w:type="dxa" w:w="2160"/>
          </w:tcPr>
          <w:p>
            <w:r>
              <w:rPr>
                <w:rFonts w:ascii="Calibri" w:hAnsi="Calibri"/>
                <w:b/>
                <w:color w:val="E5484D"/>
                <w:sz w:val="22"/>
              </w:rPr>
              <w:t>Deceleration in late April; traffic/discretionary spend pressured</w:t>
            </w:r>
          </w:p>
        </w:tc>
        <w:tc>
          <w:tcPr>
            <w:tcW w:type="dxa" w:w="2160"/>
          </w:tcPr>
          <w:p>
            <w:r>
              <w:rPr>
                <w:rFonts w:ascii="Calibri" w:hAnsi="Calibri"/>
                <w:sz w:val="22"/>
              </w:rPr>
              <w:t>Pressure acknowledged; price-to-value key</w:t>
            </w:r>
          </w:p>
        </w:tc>
        <w:tc>
          <w:tcPr>
            <w:tcW w:type="dxa" w:w="2160"/>
          </w:tcPr>
          <w:p>
            <w:r>
              <w:rPr>
                <w:rFonts w:ascii="Calibri" w:hAnsi="Calibri"/>
                <w:sz w:val="22"/>
              </w:rPr>
              <w:t>Risk to Q1 demand; HOKA’s performance positioning provides insulation</w:t>
            </w:r>
          </w:p>
        </w:tc>
      </w:tr>
      <w:tr>
        <w:tc>
          <w:tcPr>
            <w:tcW w:type="dxa" w:w="2160"/>
          </w:tcPr>
          <w:p>
            <w:r>
              <w:rPr>
                <w:rFonts w:ascii="Calibri" w:hAnsi="Calibri"/>
                <w:sz w:val="22"/>
              </w:rPr>
              <w:t>Full-Price Selling / Promotions</w:t>
            </w:r>
          </w:p>
        </w:tc>
        <w:tc>
          <w:tcPr>
            <w:tcW w:type="dxa" w:w="2160"/>
          </w:tcPr>
          <w:p>
            <w:r>
              <w:rPr>
                <w:rFonts w:ascii="Calibri" w:hAnsi="Calibri"/>
                <w:b/>
                <w:color w:val="30A46C"/>
                <w:sz w:val="22"/>
              </w:rPr>
              <w:t>Improving — off-price down 50%+ in EMEA; discounting less on digital</w:t>
            </w:r>
          </w:p>
        </w:tc>
        <w:tc>
          <w:tcPr>
            <w:tcW w:type="dxa" w:w="2160"/>
          </w:tcPr>
          <w:p>
            <w:r>
              <w:rPr>
                <w:rFonts w:ascii="Calibri" w:hAnsi="Calibri"/>
                <w:sz w:val="22"/>
              </w:rPr>
              <w:t>Inventory cleanup complete; new innovation at full price</w:t>
            </w:r>
          </w:p>
        </w:tc>
        <w:tc>
          <w:tcPr>
            <w:tcW w:type="dxa" w:w="2160"/>
          </w:tcPr>
          <w:p>
            <w:r>
              <w:rPr>
                <w:rFonts w:ascii="Calibri" w:hAnsi="Calibri"/>
                <w:sz w:val="22"/>
              </w:rPr>
              <w:t>Positive for DECK gross margin; supports full-price selling strategy</w:t>
            </w:r>
          </w:p>
        </w:tc>
      </w:tr>
      <w:tr>
        <w:tc>
          <w:tcPr>
            <w:tcW w:type="dxa" w:w="2160"/>
          </w:tcPr>
          <w:p>
            <w:r>
              <w:rPr>
                <w:rFonts w:ascii="Calibri" w:hAnsi="Calibri"/>
                <w:sz w:val="22"/>
              </w:rPr>
              <w:t>Wholesale Channel Posture</w:t>
            </w:r>
          </w:p>
        </w:tc>
        <w:tc>
          <w:tcPr>
            <w:tcW w:type="dxa" w:w="2160"/>
          </w:tcPr>
          <w:p>
            <w:r>
              <w:rPr>
                <w:rFonts w:ascii="Calibri" w:hAnsi="Calibri"/>
                <w:b/>
                <w:color w:val="E5484D"/>
                <w:sz w:val="22"/>
              </w:rPr>
              <w:t>Cautious — tightening bias, reducing future selling</w:t>
            </w:r>
          </w:p>
        </w:tc>
        <w:tc>
          <w:tcPr>
            <w:tcW w:type="dxa" w:w="2160"/>
          </w:tcPr>
          <w:p>
            <w:r>
              <w:rPr>
                <w:rFonts w:ascii="Calibri" w:hAnsi="Calibri"/>
                <w:sz w:val="22"/>
              </w:rPr>
              <w:t>Lagging DTC; at-once orders before larger buys</w:t>
            </w:r>
          </w:p>
        </w:tc>
        <w:tc>
          <w:tcPr>
            <w:tcW w:type="dxa" w:w="2160"/>
          </w:tcPr>
          <w:p>
            <w:r>
              <w:rPr>
                <w:rFonts w:ascii="Calibri" w:hAnsi="Calibri"/>
                <w:sz w:val="22"/>
              </w:rPr>
              <w:t>Corroborates HOKA Q1 wholesale timing headwinds; H2 recovery expected</w:t>
            </w:r>
          </w:p>
        </w:tc>
      </w:tr>
      <w:tr>
        <w:tc>
          <w:tcPr>
            <w:tcW w:type="dxa" w:w="2160"/>
          </w:tcPr>
          <w:p>
            <w:r>
              <w:rPr>
                <w:rFonts w:ascii="Calibri" w:hAnsi="Calibri"/>
                <w:sz w:val="22"/>
              </w:rPr>
              <w:t>Tariff Environment</w:t>
            </w:r>
          </w:p>
        </w:tc>
        <w:tc>
          <w:tcPr>
            <w:tcW w:type="dxa" w:w="2160"/>
          </w:tcPr>
          <w:p>
            <w:r>
              <w:rPr>
                <w:rFonts w:ascii="Calibri" w:hAnsi="Calibri"/>
                <w:b/>
                <w:color w:val="E5484D"/>
                <w:sz w:val="22"/>
              </w:rPr>
              <w:t>10% through July, then 15% assumed — escalation risk</w:t>
            </w:r>
          </w:p>
        </w:tc>
        <w:tc>
          <w:tcPr>
            <w:tcW w:type="dxa" w:w="2160"/>
          </w:tcPr>
          <w:p>
            <w:r>
              <w:rPr>
                <w:rFonts w:ascii="Calibri" w:hAnsi="Calibri"/>
                <w:sz w:val="22"/>
              </w:rPr>
              <w:t>Manageable; fully embedded in guidance</w:t>
            </w:r>
          </w:p>
        </w:tc>
        <w:tc>
          <w:tcPr>
            <w:tcW w:type="dxa" w:w="2160"/>
          </w:tcPr>
          <w:p>
            <w:r>
              <w:rPr>
                <w:rFonts w:ascii="Calibri" w:hAnsi="Calibri"/>
                <w:sz w:val="22"/>
              </w:rPr>
              <w:t>Risk if tariffs escalate beyond 10%; DECK guidance assumes 10% for full year</w:t>
            </w:r>
          </w:p>
        </w:tc>
      </w:tr>
      <w:tr>
        <w:tc>
          <w:tcPr>
            <w:tcW w:type="dxa" w:w="2160"/>
          </w:tcPr>
          <w:p>
            <w:r>
              <w:rPr>
                <w:rFonts w:ascii="Calibri" w:hAnsi="Calibri"/>
                <w:sz w:val="22"/>
              </w:rPr>
              <w:t>International / China</w:t>
            </w:r>
          </w:p>
        </w:tc>
        <w:tc>
          <w:tcPr>
            <w:tcW w:type="dxa" w:w="2160"/>
          </w:tcPr>
          <w:p>
            <w:r>
              <w:rPr>
                <w:rFonts w:ascii="Calibri" w:hAnsi="Calibri"/>
                <w:b/>
                <w:color w:val="E5484D"/>
                <w:sz w:val="22"/>
              </w:rPr>
              <w:t>China down 17%; cleanup ongoing; long-term committed</w:t>
            </w:r>
          </w:p>
        </w:tc>
        <w:tc>
          <w:tcPr>
            <w:tcW w:type="dxa" w:w="2160"/>
          </w:tcPr>
          <w:p>
            <w:r>
              <w:rPr>
                <w:rFonts w:ascii="Calibri" w:hAnsi="Calibri"/>
                <w:sz w:val="22"/>
              </w:rPr>
              <w:t>Large runway; China only 4% of sales</w:t>
            </w:r>
          </w:p>
        </w:tc>
        <w:tc>
          <w:tcPr>
            <w:tcW w:type="dxa" w:w="2160"/>
          </w:tcPr>
          <w:p>
            <w:r>
              <w:rPr>
                <w:rFonts w:ascii="Calibri" w:hAnsi="Calibri"/>
                <w:sz w:val="22"/>
              </w:rPr>
              <w:t>HOKA’s early-stage China development may insulate from NKE-specific issues</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sales were identified in the post-earnings window. All transactions since May 21, 2026 are either tax-withholding share surrenders (Form 4 code F) upon RSU vesting or routine annual director equity grants (Form 4 code A) — neither category carries a directional signal. The absence of any open-market buying or selling by executives is neutral.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Stefano Caroti</w:t>
            </w:r>
          </w:p>
        </w:tc>
        <w:tc>
          <w:tcPr>
            <w:tcW w:type="dxa" w:w="1440"/>
          </w:tcPr>
          <w:p>
            <w:r>
              <w:rPr>
                <w:rFonts w:ascii="Calibri" w:hAnsi="Calibri"/>
                <w:sz w:val="22"/>
              </w:rPr>
              <w:t>President &amp; CEO, Director</w:t>
            </w:r>
          </w:p>
        </w:tc>
        <w:tc>
          <w:tcPr>
            <w:tcW w:type="dxa" w:w="1440"/>
          </w:tcPr>
          <w:p>
            <w:r>
              <w:rPr>
                <w:rFonts w:ascii="Calibri" w:hAnsi="Calibri"/>
                <w:sz w:val="22"/>
              </w:rPr>
              <w:t>Tax Withholding (RSU Vest)</w:t>
            </w:r>
          </w:p>
        </w:tc>
        <w:tc>
          <w:tcPr>
            <w:tcW w:type="dxa" w:w="1440"/>
          </w:tcPr>
          <w:p>
            <w:r>
              <w:rPr>
                <w:rFonts w:ascii="Calibri" w:hAnsi="Calibri"/>
                <w:sz w:val="22"/>
              </w:rPr>
              <w:t>10,532 shares surrendered</w:t>
            </w:r>
          </w:p>
        </w:tc>
        <w:tc>
          <w:tcPr>
            <w:tcW w:type="dxa" w:w="1440"/>
          </w:tcPr>
          <w:p>
            <w:r>
              <w:rPr>
                <w:rFonts w:ascii="Calibri" w:hAnsi="Calibri"/>
                <w:sz w:val="22"/>
              </w:rPr>
              <w:t>May 20, 2026</w:t>
            </w:r>
          </w:p>
        </w:tc>
        <w:tc>
          <w:tcPr>
            <w:tcW w:type="dxa" w:w="1440"/>
          </w:tcPr>
          <w:p>
            <w:r>
              <w:rPr>
                <w:rFonts w:ascii="Calibri" w:hAnsi="Calibri"/>
                <w:sz w:val="22"/>
              </w:rPr>
              <w:t>Code F — mandatory tax withholding on RSU vesting; not a discretionary sale. No directional signal.</w:t>
            </w:r>
          </w:p>
        </w:tc>
      </w:tr>
      <w:tr>
        <w:tc>
          <w:tcPr>
            <w:tcW w:type="dxa" w:w="1440"/>
          </w:tcPr>
          <w:p>
            <w:r>
              <w:rPr>
                <w:rFonts w:ascii="Calibri" w:hAnsi="Calibri"/>
                <w:sz w:val="22"/>
              </w:rPr>
              <w:t>Steven J. Fasching</w:t>
            </w:r>
          </w:p>
        </w:tc>
        <w:tc>
          <w:tcPr>
            <w:tcW w:type="dxa" w:w="1440"/>
          </w:tcPr>
          <w:p>
            <w:r>
              <w:rPr>
                <w:rFonts w:ascii="Calibri" w:hAnsi="Calibri"/>
                <w:sz w:val="22"/>
              </w:rPr>
              <w:t>Chief Financial Officer</w:t>
            </w:r>
          </w:p>
        </w:tc>
        <w:tc>
          <w:tcPr>
            <w:tcW w:type="dxa" w:w="1440"/>
          </w:tcPr>
          <w:p>
            <w:r>
              <w:rPr>
                <w:rFonts w:ascii="Calibri" w:hAnsi="Calibri"/>
                <w:sz w:val="22"/>
              </w:rPr>
              <w:t>Tax Withholding (RSU Vest)</w:t>
            </w:r>
          </w:p>
        </w:tc>
        <w:tc>
          <w:tcPr>
            <w:tcW w:type="dxa" w:w="1440"/>
          </w:tcPr>
          <w:p>
            <w:r>
              <w:rPr>
                <w:rFonts w:ascii="Calibri" w:hAnsi="Calibri"/>
                <w:sz w:val="22"/>
              </w:rPr>
              <w:t>21,944 shares surrendered</w:t>
            </w:r>
          </w:p>
        </w:tc>
        <w:tc>
          <w:tcPr>
            <w:tcW w:type="dxa" w:w="1440"/>
          </w:tcPr>
          <w:p>
            <w:r>
              <w:rPr>
                <w:rFonts w:ascii="Calibri" w:hAnsi="Calibri"/>
                <w:sz w:val="22"/>
              </w:rPr>
              <w:t>May 20, 2026</w:t>
            </w:r>
          </w:p>
        </w:tc>
        <w:tc>
          <w:tcPr>
            <w:tcW w:type="dxa" w:w="1440"/>
          </w:tcPr>
          <w:p>
            <w:r>
              <w:rPr>
                <w:rFonts w:ascii="Calibri" w:hAnsi="Calibri"/>
                <w:sz w:val="22"/>
              </w:rPr>
              <w:t>Code F — mandatory tax withholding on RSU vesting; not a discretionary sale. No directional signal.</w:t>
            </w:r>
          </w:p>
        </w:tc>
      </w:tr>
      <w:tr>
        <w:tc>
          <w:tcPr>
            <w:tcW w:type="dxa" w:w="1440"/>
          </w:tcPr>
          <w:p>
            <w:r>
              <w:rPr>
                <w:rFonts w:ascii="Calibri" w:hAnsi="Calibri"/>
                <w:sz w:val="22"/>
              </w:rPr>
              <w:t>Anne Spangenberg</w:t>
            </w:r>
          </w:p>
        </w:tc>
        <w:tc>
          <w:tcPr>
            <w:tcW w:type="dxa" w:w="1440"/>
          </w:tcPr>
          <w:p>
            <w:r>
              <w:rPr>
                <w:rFonts w:ascii="Calibri" w:hAnsi="Calibri"/>
                <w:sz w:val="22"/>
              </w:rPr>
              <w:t>President, Fashion Lifestyle</w:t>
            </w:r>
          </w:p>
        </w:tc>
        <w:tc>
          <w:tcPr>
            <w:tcW w:type="dxa" w:w="1440"/>
          </w:tcPr>
          <w:p>
            <w:r>
              <w:rPr>
                <w:rFonts w:ascii="Calibri" w:hAnsi="Calibri"/>
                <w:sz w:val="22"/>
              </w:rPr>
              <w:t>Tax Withholding (RSU Vest)</w:t>
            </w:r>
          </w:p>
        </w:tc>
        <w:tc>
          <w:tcPr>
            <w:tcW w:type="dxa" w:w="1440"/>
          </w:tcPr>
          <w:p>
            <w:r>
              <w:rPr>
                <w:rFonts w:ascii="Calibri" w:hAnsi="Calibri"/>
                <w:sz w:val="22"/>
              </w:rPr>
              <w:t>7,623 shares surrendered</w:t>
            </w:r>
          </w:p>
        </w:tc>
        <w:tc>
          <w:tcPr>
            <w:tcW w:type="dxa" w:w="1440"/>
          </w:tcPr>
          <w:p>
            <w:r>
              <w:rPr>
                <w:rFonts w:ascii="Calibri" w:hAnsi="Calibri"/>
                <w:sz w:val="22"/>
              </w:rPr>
              <w:t>May 20, 2026</w:t>
            </w:r>
          </w:p>
        </w:tc>
        <w:tc>
          <w:tcPr>
            <w:tcW w:type="dxa" w:w="1440"/>
          </w:tcPr>
          <w:p>
            <w:r>
              <w:rPr>
                <w:rFonts w:ascii="Calibri" w:hAnsi="Calibri"/>
                <w:sz w:val="22"/>
              </w:rPr>
              <w:t>Code F — mandatory tax withholding on RSU vesting; not a discretionary sale. No directional signal.</w:t>
            </w:r>
          </w:p>
        </w:tc>
      </w:tr>
      <w:tr>
        <w:tc>
          <w:tcPr>
            <w:tcW w:type="dxa" w:w="1440"/>
          </w:tcPr>
          <w:p>
            <w:r>
              <w:rPr>
                <w:rFonts w:ascii="Calibri" w:hAnsi="Calibri"/>
                <w:sz w:val="22"/>
              </w:rPr>
              <w:t>Thomas Garcia</w:t>
            </w:r>
          </w:p>
        </w:tc>
        <w:tc>
          <w:tcPr>
            <w:tcW w:type="dxa" w:w="1440"/>
          </w:tcPr>
          <w:p>
            <w:r>
              <w:rPr>
                <w:rFonts w:ascii="Calibri" w:hAnsi="Calibri"/>
                <w:sz w:val="22"/>
              </w:rPr>
              <w:t>Chief Administrative Officer</w:t>
            </w:r>
          </w:p>
        </w:tc>
        <w:tc>
          <w:tcPr>
            <w:tcW w:type="dxa" w:w="1440"/>
          </w:tcPr>
          <w:p>
            <w:r>
              <w:rPr>
                <w:rFonts w:ascii="Calibri" w:hAnsi="Calibri"/>
                <w:sz w:val="22"/>
              </w:rPr>
              <w:t>Tax Withholding (RSU Vest)</w:t>
            </w:r>
          </w:p>
        </w:tc>
        <w:tc>
          <w:tcPr>
            <w:tcW w:type="dxa" w:w="1440"/>
          </w:tcPr>
          <w:p>
            <w:r>
              <w:rPr>
                <w:rFonts w:ascii="Calibri" w:hAnsi="Calibri"/>
                <w:sz w:val="22"/>
              </w:rPr>
              <w:t>4,581 shares surrendered</w:t>
            </w:r>
          </w:p>
        </w:tc>
        <w:tc>
          <w:tcPr>
            <w:tcW w:type="dxa" w:w="1440"/>
          </w:tcPr>
          <w:p>
            <w:r>
              <w:rPr>
                <w:rFonts w:ascii="Calibri" w:hAnsi="Calibri"/>
                <w:sz w:val="22"/>
              </w:rPr>
              <w:t>May 20, 2026</w:t>
            </w:r>
          </w:p>
        </w:tc>
        <w:tc>
          <w:tcPr>
            <w:tcW w:type="dxa" w:w="1440"/>
          </w:tcPr>
          <w:p>
            <w:r>
              <w:rPr>
                <w:rFonts w:ascii="Calibri" w:hAnsi="Calibri"/>
                <w:sz w:val="22"/>
              </w:rPr>
              <w:t>Code F — mandatory tax withholding on RSU vesting; not a discretionary sale. No directional signal.</w:t>
            </w:r>
          </w:p>
        </w:tc>
      </w:tr>
      <w:tr>
        <w:tc>
          <w:tcPr>
            <w:tcW w:type="dxa" w:w="1440"/>
          </w:tcPr>
          <w:p>
            <w:r>
              <w:rPr>
                <w:rFonts w:ascii="Calibri" w:hAnsi="Calibri"/>
                <w:sz w:val="22"/>
              </w:rPr>
              <w:t>Angela Ogbechie</w:t>
            </w:r>
          </w:p>
        </w:tc>
        <w:tc>
          <w:tcPr>
            <w:tcW w:type="dxa" w:w="1440"/>
          </w:tcPr>
          <w:p>
            <w:r>
              <w:rPr>
                <w:rFonts w:ascii="Calibri" w:hAnsi="Calibri"/>
                <w:sz w:val="22"/>
              </w:rPr>
              <w:t>Chief Supply Chain Officer</w:t>
            </w:r>
          </w:p>
        </w:tc>
        <w:tc>
          <w:tcPr>
            <w:tcW w:type="dxa" w:w="1440"/>
          </w:tcPr>
          <w:p>
            <w:r>
              <w:rPr>
                <w:rFonts w:ascii="Calibri" w:hAnsi="Calibri"/>
                <w:sz w:val="22"/>
              </w:rPr>
              <w:t>Tax Withholding (RSU Vest)</w:t>
            </w:r>
          </w:p>
        </w:tc>
        <w:tc>
          <w:tcPr>
            <w:tcW w:type="dxa" w:w="1440"/>
          </w:tcPr>
          <w:p>
            <w:r>
              <w:rPr>
                <w:rFonts w:ascii="Calibri" w:hAnsi="Calibri"/>
                <w:sz w:val="22"/>
              </w:rPr>
              <w:t>2,634 shares surrendered</w:t>
            </w:r>
          </w:p>
        </w:tc>
        <w:tc>
          <w:tcPr>
            <w:tcW w:type="dxa" w:w="1440"/>
          </w:tcPr>
          <w:p>
            <w:r>
              <w:rPr>
                <w:rFonts w:ascii="Calibri" w:hAnsi="Calibri"/>
                <w:sz w:val="22"/>
              </w:rPr>
              <w:t>May 20, 2026</w:t>
            </w:r>
          </w:p>
        </w:tc>
        <w:tc>
          <w:tcPr>
            <w:tcW w:type="dxa" w:w="1440"/>
          </w:tcPr>
          <w:p>
            <w:r>
              <w:rPr>
                <w:rFonts w:ascii="Calibri" w:hAnsi="Calibri"/>
                <w:sz w:val="22"/>
              </w:rPr>
              <w:t>Code F — mandatory tax withholding on RSU vesting; not a discretionary sale. No directional signal.</w:t>
            </w:r>
          </w:p>
        </w:tc>
      </w:tr>
      <w:tr>
        <w:tc>
          <w:tcPr>
            <w:tcW w:type="dxa" w:w="1440"/>
          </w:tcPr>
          <w:p>
            <w:r>
              <w:rPr>
                <w:rFonts w:ascii="Calibri" w:hAnsi="Calibri"/>
                <w:sz w:val="22"/>
              </w:rPr>
              <w:t>Robin Spring-Green</w:t>
            </w:r>
          </w:p>
        </w:tc>
        <w:tc>
          <w:tcPr>
            <w:tcW w:type="dxa" w:w="1440"/>
          </w:tcPr>
          <w:p>
            <w:r>
              <w:rPr>
                <w:rFonts w:ascii="Calibri" w:hAnsi="Calibri"/>
                <w:sz w:val="22"/>
              </w:rPr>
              <w:t>President, HOKA</w:t>
            </w:r>
          </w:p>
        </w:tc>
        <w:tc>
          <w:tcPr>
            <w:tcW w:type="dxa" w:w="1440"/>
          </w:tcPr>
          <w:p>
            <w:r>
              <w:rPr>
                <w:rFonts w:ascii="Calibri" w:hAnsi="Calibri"/>
                <w:sz w:val="22"/>
              </w:rPr>
              <w:t>Tax Withholding (RSU Vest)</w:t>
            </w:r>
          </w:p>
        </w:tc>
        <w:tc>
          <w:tcPr>
            <w:tcW w:type="dxa" w:w="1440"/>
          </w:tcPr>
          <w:p>
            <w:r>
              <w:rPr>
                <w:rFonts w:ascii="Calibri" w:hAnsi="Calibri"/>
                <w:sz w:val="22"/>
              </w:rPr>
              <w:t>1,959 shares surrendered</w:t>
            </w:r>
          </w:p>
        </w:tc>
        <w:tc>
          <w:tcPr>
            <w:tcW w:type="dxa" w:w="1440"/>
          </w:tcPr>
          <w:p>
            <w:r>
              <w:rPr>
                <w:rFonts w:ascii="Calibri" w:hAnsi="Calibri"/>
                <w:sz w:val="22"/>
              </w:rPr>
              <w:t>May 20, 2026</w:t>
            </w:r>
          </w:p>
        </w:tc>
        <w:tc>
          <w:tcPr>
            <w:tcW w:type="dxa" w:w="1440"/>
          </w:tcPr>
          <w:p>
            <w:r>
              <w:rPr>
                <w:rFonts w:ascii="Calibri" w:hAnsi="Calibri"/>
                <w:sz w:val="22"/>
              </w:rPr>
              <w:t>Code F — mandatory tax withholding on RSU vesting; not a discretionary sale. No directional signal.</w:t>
            </w:r>
          </w:p>
        </w:tc>
      </w:tr>
      <w:tr>
        <w:tc>
          <w:tcPr>
            <w:tcW w:type="dxa" w:w="1440"/>
          </w:tcPr>
          <w:p>
            <w:r>
              <w:rPr>
                <w:rFonts w:ascii="Calibri" w:hAnsi="Calibri"/>
                <w:sz w:val="22"/>
              </w:rPr>
              <w:t>Marco Ellerker</w:t>
            </w:r>
          </w:p>
        </w:tc>
        <w:tc>
          <w:tcPr>
            <w:tcW w:type="dxa" w:w="1440"/>
          </w:tcPr>
          <w:p>
            <w:r>
              <w:rPr>
                <w:rFonts w:ascii="Calibri" w:hAnsi="Calibri"/>
                <w:sz w:val="22"/>
              </w:rPr>
              <w:t>President, Global Marketplace</w:t>
            </w:r>
          </w:p>
        </w:tc>
        <w:tc>
          <w:tcPr>
            <w:tcW w:type="dxa" w:w="1440"/>
          </w:tcPr>
          <w:p>
            <w:r>
              <w:rPr>
                <w:rFonts w:ascii="Calibri" w:hAnsi="Calibri"/>
                <w:sz w:val="22"/>
              </w:rPr>
              <w:t>Tax Withholding (RSU Vest)</w:t>
            </w:r>
          </w:p>
        </w:tc>
        <w:tc>
          <w:tcPr>
            <w:tcW w:type="dxa" w:w="1440"/>
          </w:tcPr>
          <w:p>
            <w:r>
              <w:rPr>
                <w:rFonts w:ascii="Calibri" w:hAnsi="Calibri"/>
                <w:sz w:val="22"/>
              </w:rPr>
              <w:t>1,508 shares surrendered</w:t>
            </w:r>
          </w:p>
        </w:tc>
        <w:tc>
          <w:tcPr>
            <w:tcW w:type="dxa" w:w="1440"/>
          </w:tcPr>
          <w:p>
            <w:r>
              <w:rPr>
                <w:rFonts w:ascii="Calibri" w:hAnsi="Calibri"/>
                <w:sz w:val="22"/>
              </w:rPr>
              <w:t>May 20, 2026</w:t>
            </w:r>
          </w:p>
        </w:tc>
        <w:tc>
          <w:tcPr>
            <w:tcW w:type="dxa" w:w="1440"/>
          </w:tcPr>
          <w:p>
            <w:r>
              <w:rPr>
                <w:rFonts w:ascii="Calibri" w:hAnsi="Calibri"/>
                <w:sz w:val="22"/>
              </w:rPr>
              <w:t>Code F — mandatory tax withholding on RSU vesting; not a discretionary sale. No directional signal.</w:t>
            </w:r>
          </w:p>
        </w:tc>
      </w:tr>
      <w:tr>
        <w:tc>
          <w:tcPr>
            <w:tcW w:type="dxa" w:w="1440"/>
          </w:tcPr>
          <w:p>
            <w:r>
              <w:rPr>
                <w:rFonts w:ascii="Calibri" w:hAnsi="Calibri"/>
                <w:sz w:val="22"/>
              </w:rPr>
              <w:t>Multiple Directors (9 individuals)</w:t>
            </w:r>
          </w:p>
        </w:tc>
        <w:tc>
          <w:tcPr>
            <w:tcW w:type="dxa" w:w="1440"/>
          </w:tcPr>
          <w:p>
            <w:r>
              <w:rPr>
                <w:rFonts w:ascii="Calibri" w:hAnsi="Calibri"/>
                <w:sz w:val="22"/>
              </w:rPr>
              <w:t>Board of Directors</w:t>
            </w:r>
          </w:p>
        </w:tc>
        <w:tc>
          <w:tcPr>
            <w:tcW w:type="dxa" w:w="1440"/>
          </w:tcPr>
          <w:p>
            <w:r>
              <w:rPr>
                <w:rFonts w:ascii="Calibri" w:hAnsi="Calibri"/>
                <w:sz w:val="22"/>
              </w:rPr>
              <w:t>Annual Equity Grant (Acquisition)</w:t>
            </w:r>
          </w:p>
        </w:tc>
        <w:tc>
          <w:tcPr>
            <w:tcW w:type="dxa" w:w="1440"/>
          </w:tcPr>
          <w:p>
            <w:r>
              <w:rPr>
                <w:rFonts w:ascii="Calibri" w:hAnsi="Calibri"/>
                <w:sz w:val="22"/>
              </w:rPr>
              <w:t>448–766 shares each (routine annual grant)</w:t>
            </w:r>
          </w:p>
        </w:tc>
        <w:tc>
          <w:tcPr>
            <w:tcW w:type="dxa" w:w="1440"/>
          </w:tcPr>
          <w:p>
            <w:r>
              <w:rPr>
                <w:rFonts w:ascii="Calibri" w:hAnsi="Calibri"/>
                <w:sz w:val="22"/>
              </w:rPr>
              <w:t>June 1, 2026</w:t>
            </w:r>
          </w:p>
        </w:tc>
        <w:tc>
          <w:tcPr>
            <w:tcW w:type="dxa" w:w="1440"/>
          </w:tcPr>
          <w:p>
            <w:r>
              <w:rPr>
                <w:rFonts w:ascii="Calibri" w:hAnsi="Calibri"/>
                <w:sz w:val="22"/>
              </w:rPr>
              <w:t>Code A — routine annual director equity compensation grant; not a market purchase. No directional signal.</w:t>
            </w:r>
          </w:p>
        </w:tc>
      </w:tr>
    </w:tbl>
    <w:p>
      <w:r>
        <w:rPr>
          <w:rFonts w:ascii="Calibri" w:hAnsi="Calibri"/>
          <w:color w:val="525866"/>
          <w:sz w:val="22"/>
        </w:rPr>
        <w:t>No open-market purchases (Form 4 code P) or discretionary open-market sales (Form 4 code S) were identified for DECK insiders in the May 21 – July 22, 2026 window. All executive transactions on May 20, 2026 are tax-withholding share surrenders (code F) triggered by RSU vesting on the day before the earnings release — a routine, non-discretionary event. The June 1, 2026 director grants are standard annual equity compensation. The absence of any open-market buying at current prices (~$102, well below the $105.61 average repurchase price in Q4 FY2026) is notable but not alarming given the blackout period that would have been in effect ahead of the July 23 earnings call.</w:t>
      </w:r>
    </w:p>
    <w:p>
      <w:r>
        <w:rPr>
          <w:rFonts w:ascii="Calibri" w:hAnsi="Calibri"/>
          <w:i/>
          <w:color w:val="525866"/>
          <w:sz w:val="22"/>
        </w:rPr>
        <w:t xml:space="preserve">Source: </w:t>
      </w:r>
      <w:r>
        <w:rPr>
          <w:rFonts w:ascii="Calibri" w:hAnsi="Calibri"/>
          <w:i/>
          <w:color w:val="525866"/>
          <w:sz w:val="22"/>
        </w:rPr>
        <w:t>SEC Form 4 filings database. Transactions retrieved for DECK, May 21 – July 22, 2026.</w:t>
      </w:r>
    </w:p>
    <w:p>
      <w:r>
        <w:br w:type="page"/>
      </w:r>
    </w:p>
    <w:p>
      <w:pPr>
        <w:pStyle w:val="Heading2"/>
      </w:pPr>
      <w:r>
        <w:rPr>
          <w:rFonts w:ascii="Calibri" w:hAnsi="Calibri"/>
          <w:b/>
          <w:color w:val="3B4259"/>
          <w:sz w:val="28"/>
        </w:rPr>
        <w:t>Appendix: Key Risks to the Thesis</w:t>
      </w:r>
    </w:p>
    <w:p>
      <w:pPr>
        <w:pStyle w:val="ListBullet"/>
        <w:ind w:left="360" w:hanging="360"/>
      </w:pPr>
      <w:r>
        <w:rPr>
          <w:rFonts w:ascii="Calibri" w:hAnsi="Calibri"/>
          <w:b/>
          <w:color w:val="525866"/>
          <w:sz w:val="22"/>
        </w:rPr>
        <w:t xml:space="preserve">Downside Risk — HOKA Wholesale Miss: </w:t>
      </w:r>
      <w:r>
        <w:rPr>
          <w:rFonts w:ascii="Calibri" w:hAnsi="Calibri"/>
          <w:color w:val="525866"/>
          <w:sz w:val="22"/>
        </w:rPr>
        <w:t>If the Q1 HOKA wholesale timing headwinds (EMEA warehouse lap, APAC distributor delays) are larger than guided, total revenue could miss the ~$1.01B implied target. Management has pre-disclosed these dynamics, but the magnitude is uncertain.</w:t>
      </w:r>
    </w:p>
    <w:p>
      <w:pPr>
        <w:pStyle w:val="ListBullet"/>
        <w:ind w:left="360" w:hanging="360"/>
      </w:pPr>
      <w:r>
        <w:rPr>
          <w:rFonts w:ascii="Calibri" w:hAnsi="Calibri"/>
          <w:b/>
          <w:color w:val="525866"/>
          <w:sz w:val="22"/>
        </w:rPr>
        <w:t xml:space="preserve">Downside Risk — Gross Margin Pressure Worse Than Guided: </w:t>
      </w:r>
      <w:r>
        <w:rPr>
          <w:rFonts w:ascii="Calibri" w:hAnsi="Calibri"/>
          <w:color w:val="525866"/>
          <w:sz w:val="22"/>
        </w:rPr>
        <w:t>The tariff inventory sell-through in H1 FY2027 (inventory purchased at higher IEEPA rates) and freight inflation could compress gross margin below the ~54.5% implied consensus. Every 50bps of gross margin miss on ~$1.0B revenue is approximately $5M of gross profit, or ~$0.04 of EPS.</w:t>
      </w:r>
    </w:p>
    <w:p>
      <w:pPr>
        <w:pStyle w:val="ListBullet"/>
        <w:ind w:left="360" w:hanging="360"/>
      </w:pPr>
      <w:r>
        <w:rPr>
          <w:rFonts w:ascii="Calibri" w:hAnsi="Calibri"/>
          <w:b/>
          <w:color w:val="525866"/>
          <w:sz w:val="22"/>
        </w:rPr>
        <w:t xml:space="preserve">Downside Risk — Tariff Escalation: </w:t>
      </w:r>
      <w:r>
        <w:rPr>
          <w:rFonts w:ascii="Calibri" w:hAnsi="Calibri"/>
          <w:color w:val="525866"/>
          <w:sz w:val="22"/>
        </w:rPr>
        <w:t>Nike's guidance assumes tariffs increase from 10% to 15% after July. If DECK faces a similar escalation, H2 FY2027 gross margin guidance of ~56.5% for the full year would be at risk.</w:t>
      </w:r>
    </w:p>
    <w:p>
      <w:pPr>
        <w:pStyle w:val="ListBullet"/>
        <w:ind w:left="360" w:hanging="360"/>
      </w:pPr>
      <w:r>
        <w:rPr>
          <w:rFonts w:ascii="Calibri" w:hAnsi="Calibri"/>
          <w:b/>
          <w:color w:val="525866"/>
          <w:sz w:val="22"/>
        </w:rPr>
        <w:t xml:space="preserve">Upside Risk — Clifton 11 Early Sell-Through: </w:t>
      </w:r>
      <w:r>
        <w:rPr>
          <w:rFonts w:ascii="Calibri" w:hAnsi="Calibri"/>
          <w:color w:val="525866"/>
          <w:sz w:val="22"/>
        </w:rPr>
        <w:t>Strong early sell-through data on the Clifton 11 (launched July 2026) could drive upward revision to HOKA's H2 FY2027 wholesale order book and reset the growth narrative.</w:t>
      </w:r>
    </w:p>
    <w:p>
      <w:pPr>
        <w:pStyle w:val="ListBullet"/>
        <w:ind w:left="360" w:hanging="360"/>
      </w:pPr>
      <w:r>
        <w:rPr>
          <w:rFonts w:ascii="Calibri" w:hAnsi="Calibri"/>
          <w:b/>
          <w:color w:val="525866"/>
          <w:sz w:val="22"/>
        </w:rPr>
        <w:t xml:space="preserve">Upside Risk — Tariff Refund Receipt: </w:t>
      </w:r>
      <w:r>
        <w:rPr>
          <w:rFonts w:ascii="Calibri" w:hAnsi="Calibri"/>
          <w:color w:val="525866"/>
          <w:sz w:val="22"/>
        </w:rPr>
        <w:t>The company is pursuing government refunds on ~$120M of gross tariffs paid in FY2026. Any refund receipt would be pure upside to guidance, as no refund amount is assumed.</w:t>
      </w:r>
    </w:p>
    <w:p>
      <w:pPr>
        <w:pStyle w:val="ListBullet"/>
        <w:ind w:left="360" w:hanging="360"/>
      </w:pPr>
      <w:r>
        <w:rPr>
          <w:rFonts w:ascii="Calibri" w:hAnsi="Calibri"/>
          <w:b/>
          <w:color w:val="525866"/>
          <w:sz w:val="22"/>
        </w:rPr>
        <w:t xml:space="preserve">Upside Risk — Gross Margin Outperformance: </w:t>
      </w:r>
      <w:r>
        <w:rPr>
          <w:rFonts w:ascii="Calibri" w:hAnsi="Calibri"/>
          <w:color w:val="525866"/>
          <w:sz w:val="22"/>
        </w:rPr>
        <w:t>DECK has beaten gross margin expectations in each of the last several quarters, driven by higher full-price selling and freight savings. If this pattern continues, EPS could beat the top of the $0.82–$0.87 guidance range.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