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gx-earnings-predictions--2026-07-23"/>
    <w:p>
      <w:pPr>
        <w:pStyle w:val="Heading1"/>
      </w:pPr>
      <w:r>
        <w:t xml:space="preserve">DGX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 vs. cons $2.81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~$3.00B vs. cons $2.97B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Requisition volume growth (organic, 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~+9.0% vs. cons ~+7.5%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10.75</m:t>
              </m:r>
              <m:r>
                <m:rPr>
                  <m:sty m:val="p"/>
                </m:rPr>
                <m:t>−</m:t>
              </m:r>
            </m:oMath>
            <w:r>
              <w:t xml:space="preserve">10.95 (mid ~</w:t>
            </w:r>
            <m:oMath>
              <m:r>
                <m:t>10.85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11.85</m:t>
              </m:r>
              <m:r>
                <m:rPr>
                  <m:sty m:val="p"/>
                </m:rPr>
                <m:t>−</m:t>
              </m:r>
            </m:oMath>
            <w:r>
              <w:t xml:space="preserve">11.98B (mid ~</w:t>
            </w:r>
            <m:oMath>
              <m:r>
                <m:t>11.92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11.85B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operating margin / 2H cost cadence (Nova + fuel)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~15.5-16% margin, 2H-weighted costs vs. cons ~15.7%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Base case is a beat-and-modest-raise that pops the stock ~+2% day 1 (consistent with Q1's +4.4% residual vs. -0.65% SPY), but with shares near all-time highs (~</w:t>
            </w:r>
            <m:oMath>
              <m:r>
                <m:t>210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+</m:t>
              </m:r>
              <m:r>
                <m:t>8</m:t>
              </m:r>
            </m:oMath>
            <w:r>
              <w:t xml:space="preserve">0.05-0.07 fuel drag, Fresenius start-up margin) caps forward-margin/EPS revisions. Expect estimates to firm on the top line but back-half EPS to hold or tick down, giving back part of the day-1 gain.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2026-07-23T00:19:55Z</dcterms:created>
  <dcterms:modified xsi:type="dcterms:W3CDTF">2026-07-23T00:19:55Z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