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66e242da3eb4024ad9a75aded6716e687ece8"/>
    <w:p>
      <w:pPr>
        <w:pStyle w:val="Heading1"/>
      </w:pPr>
      <w:r>
        <w:t xml:space="preserve">Quest Diagnostics (DGX)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stated event date is</w:t>
      </w:r>
      <w:r>
        <w:t xml:space="preserve"> </w:t>
      </w:r>
      <w:r>
        <w:rPr>
          <w:b/>
          <w:bCs/>
        </w:rPr>
        <w:t xml:space="preserve">Thursday, July 23, 2026</w:t>
      </w:r>
      <w:r>
        <w:t xml:space="preserve">—which is</w:t>
      </w:r>
      <w:r>
        <w:t xml:space="preserve"> </w:t>
      </w:r>
      <w:r>
        <w:rPr>
          <w:i/>
          <w:iCs/>
        </w:rPr>
        <w:t xml:space="preserve">today</w:t>
      </w:r>
      <w:r>
        <w:t xml:space="preserve">, not tomorrow, based on the current date. This preview therefore addresses the setup immediately ahead of the 2Q26 report/call.</w:t>
      </w:r>
    </w:p>
    <w:bookmarkStart w:id="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Quest enters 2Q with unusually strong operating momentum after a first quarter that exceeded its prior outlook and led management to raise full-year revenue and EPS guidance. The central question for investors is no longer whether growth has improved—it has—but</w:t>
      </w:r>
      <w:r>
        <w:t xml:space="preserve"> </w:t>
      </w:r>
      <w:r>
        <w:rPr>
          <w:b/>
          <w:bCs/>
        </w:rPr>
        <w:t xml:space="preserve">how durable the organic components are once the large Corewell Health and Fresenius relationships are separated from underlying utilization, test mix, and consumer/advanced-diagnostics demand</w:t>
      </w:r>
      <w:r>
        <w:t xml:space="preserve">.</w:t>
      </w:r>
    </w:p>
    <w:p>
      <w:pPr>
        <w:pStyle w:val="BodyText"/>
      </w:pPr>
      <w:r>
        <w:t xml:space="preserve">The setup is constructive, but expectations are higher. DGX closed at</w:t>
      </w:r>
      <w:r>
        <w:t xml:space="preserve"> </w:t>
      </w:r>
      <w:r>
        <w:rPr>
          <w:b/>
          <w:bCs/>
        </w:rPr>
        <w:t xml:space="preserve">$209.87 on July 22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21% year to date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2% above its post-1Q-earnings close</w:t>
      </w:r>
      <w:r>
        <w:t xml:space="preserve">, suggesting the market has recognized the better growth profile but has not fully re-rated the shares since the April print.</w:t>
      </w:r>
    </w:p>
    <w:bookmarkEnd w:id="9"/>
    <w:bookmarkStart w:id="13" w:name="what-matters-most-in-2q"/>
    <w:p>
      <w:pPr>
        <w:pStyle w:val="Heading2"/>
      </w:pPr>
      <w:r>
        <w:t xml:space="preserve">What matters most in 2Q</w:t>
      </w:r>
    </w:p>
    <w:bookmarkStart w:id="10" w:name="X74f792f89c0aaa8c6f86cc0f18a19e660b8abd1"/>
    <w:p>
      <w:pPr>
        <w:pStyle w:val="Heading3"/>
      </w:pPr>
      <w:r>
        <w:t xml:space="preserve">1. Organic growth quality—not simply reported volume</w:t>
      </w:r>
    </w:p>
    <w:p>
      <w:pPr>
        <w:pStyle w:val="FirstParagraph"/>
      </w:pPr>
      <w:r>
        <w:t xml:space="preserve">In 1Q, revenue rose</w:t>
      </w:r>
      <w:r>
        <w:t xml:space="preserve"> </w:t>
      </w:r>
      <w:r>
        <w:rPr>
          <w:b/>
          <w:bCs/>
        </w:rPr>
        <w:t xml:space="preserve">9.2%</w:t>
      </w:r>
      <w:r>
        <w:t xml:space="preserve"> </w:t>
      </w:r>
      <w:r>
        <w:t xml:space="preserve">to</w:t>
      </w:r>
      <w:r>
        <w:t xml:space="preserve"> </w:t>
      </w:r>
      <m:oMath>
        <m:r>
          <m:t>2.90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o</m:t>
        </m:r>
        <m:r>
          <m:t>r</m:t>
        </m:r>
        <m:r>
          <m:t>g</m:t>
        </m:r>
        <m:r>
          <m:t>a</m:t>
        </m:r>
        <m:r>
          <m:t>n</m:t>
        </m:r>
        <m:r>
          <m:t>i</m:t>
        </m:r>
        <m:r>
          <m:t>c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g</m:t>
        </m:r>
        <m:r>
          <m:t>r</m:t>
        </m:r>
        <m:r>
          <m:t>e</m:t>
        </m:r>
        <m:r>
          <m:t>w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9.0</m:t>
        </m:r>
      </m:oMath>
      <w:r>
        <w:rPr>
          <w:b/>
          <w:bCs/>
        </w:rPr>
        <w:t xml:space="preserve">2.50</w:t>
      </w:r>
      <w:r>
        <w:t xml:space="preserve">. Volume growth was a striking</w:t>
      </w:r>
      <w:r>
        <w:t xml:space="preserve"> </w:t>
      </w:r>
      <w:r>
        <w:rPr>
          <w:b/>
          <w:bCs/>
        </w:rPr>
        <w:t xml:space="preserve">10.8% organically</w:t>
      </w:r>
      <w:r>
        <w:t xml:space="preserve">, but roughly</w:t>
      </w:r>
      <w:r>
        <w:t xml:space="preserve"> </w:t>
      </w:r>
      <w:r>
        <w:rPr>
          <w:b/>
          <w:bCs/>
        </w:rPr>
        <w:t xml:space="preserve">7 percentage points</w:t>
      </w:r>
      <w:r>
        <w:t xml:space="preserve"> </w:t>
      </w:r>
      <w:r>
        <w:t xml:space="preserve">came from Corewell and Fresenius. Excluding those two partnerships, underlying organic volume growth was still a healthy</w:t>
      </w:r>
      <w:r>
        <w:t xml:space="preserve"> </w:t>
      </w:r>
      <w:r>
        <w:rPr>
          <w:b/>
          <w:bCs/>
        </w:rPr>
        <w:t xml:space="preserve">3.8%</w:t>
      </w:r>
      <w:r>
        <w:t xml:space="preserve">.</w:t>
      </w:r>
    </w:p>
    <w:p>
      <w:pPr>
        <w:pStyle w:val="BodyText"/>
      </w:pPr>
      <w:r>
        <w:t xml:space="preserve">The key 2Q debate will be whether that underlying growth rate held or improved. Investors should focus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Organic volume excluding Corewell/Fresenius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Organic revenue per requisition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Tests per requisition and advanced-test mix</w:t>
      </w:r>
    </w:p>
    <w:p>
      <w:pPr>
        <w:pStyle w:val="Compact"/>
        <w:numPr>
          <w:ilvl w:val="0"/>
          <w:numId w:val="1001"/>
        </w:numPr>
      </w:pPr>
      <w:r>
        <w:t xml:space="preserve">Growth across the physician, hospital-reference, consumer, and enterprise channels</w:t>
      </w:r>
    </w:p>
    <w:p>
      <w:pPr>
        <w:pStyle w:val="FirstParagraph"/>
      </w:pPr>
      <w:r>
        <w:t xml:space="preserve">Management’s 1Q commentary pointed to broad-based strength: high-single-digit physician-channel growth, double-digit hospital growth, and robust consumer and wellness-partnership demand. Importantly, management said revenue per requisition would have risen about</w:t>
      </w:r>
      <w:r>
        <w:t xml:space="preserve"> </w:t>
      </w:r>
      <w:r>
        <w:rPr>
          <w:b/>
          <w:bCs/>
        </w:rPr>
        <w:t xml:space="preserve">2.5% excluding the mix effect</w:t>
      </w:r>
      <w:r>
        <w:t xml:space="preserve"> </w:t>
      </w:r>
      <w:r>
        <w:t xml:space="preserve">of Corewell and Fresenius—evidence that advanced testing and test density are contributing rather than growth being purely lower-value routine volume.</w:t>
      </w:r>
    </w:p>
    <w:bookmarkEnd w:id="10"/>
    <w:bookmarkStart w:id="11" w:name="X6586518dcf15d8e88b91c14e3cdc5d578e015db"/>
    <w:p>
      <w:pPr>
        <w:pStyle w:val="Heading3"/>
      </w:pPr>
      <w:r>
        <w:t xml:space="preserve">2. Corewell and Fresenius: powerful revenue catalysts, mixed near-term margin signal</w:t>
      </w:r>
    </w:p>
    <w:p>
      <w:pPr>
        <w:pStyle w:val="FirstParagraph"/>
      </w:pPr>
      <w:r>
        <w:t xml:space="preserve">Corewell and Fresenius are expected to contribute approximately</w:t>
      </w:r>
      <w:r>
        <w:t xml:space="preserve"> </w:t>
      </w:r>
      <m:oMath>
        <m:r>
          <m:t>250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80 million–$100 million</w:t>
      </w:r>
      <w:r>
        <w:t xml:space="preserve">, respectively, to 2026 revenue growth—roughly</w:t>
      </w:r>
      <w:r>
        <w:t xml:space="preserve"> </w:t>
      </w:r>
      <w:r>
        <w:rPr>
          <w:b/>
          <w:bCs/>
        </w:rPr>
        <w:t xml:space="preserve">3.3% of annual revenue growth</w:t>
      </w:r>
      <w:r>
        <w:t xml:space="preserve"> </w:t>
      </w:r>
      <w:r>
        <w:t xml:space="preserve">in aggregate.</w:t>
      </w:r>
    </w:p>
    <w:p>
      <w:pPr>
        <w:pStyle w:val="BodyText"/>
      </w:pPr>
      <w:r>
        <w:t xml:space="preserve">That is material, but the investor interpretation is nuanced:</w:t>
      </w:r>
    </w:p>
    <w:p>
      <w:pPr>
        <w:pStyle w:val="Compact"/>
        <w:numPr>
          <w:ilvl w:val="0"/>
          <w:numId w:val="1002"/>
        </w:numPr>
      </w:pPr>
      <w:r>
        <w:t xml:space="preserve">These arrangements inflate requisition growth because they include more routine testing.</w:t>
      </w:r>
    </w:p>
    <w:p>
      <w:pPr>
        <w:pStyle w:val="Compact"/>
        <w:numPr>
          <w:ilvl w:val="0"/>
          <w:numId w:val="1002"/>
        </w:numPr>
      </w:pPr>
      <w:r>
        <w:t xml:space="preserve">They pressure consolidated revenue per requisition because of their lower-acuity mix.</w:t>
      </w:r>
    </w:p>
    <w:p>
      <w:pPr>
        <w:pStyle w:val="Compact"/>
        <w:numPr>
          <w:ilvl w:val="0"/>
          <w:numId w:val="1002"/>
        </w:numPr>
      </w:pPr>
      <w:r>
        <w:t xml:space="preserve">Margins should improve as the businesses ramp, particularly at Fresenius, which management expects to trend toward the enterprise-average margin over time.</w:t>
      </w:r>
    </w:p>
    <w:p>
      <w:pPr>
        <w:pStyle w:val="FirstParagraph"/>
      </w:pPr>
      <w:r>
        <w:t xml:space="preserve">For 2Q, a seemingly weak reported revenue-per-requisition figure should not automatically be viewed negatively. The more useful question is whether</w:t>
      </w:r>
      <w:r>
        <w:t xml:space="preserve"> </w:t>
      </w:r>
      <w:r>
        <w:rPr>
          <w:b/>
          <w:bCs/>
        </w:rPr>
        <w:t xml:space="preserve">ex-partnership revenue per requisition and test-per-requisition remain positive</w:t>
      </w:r>
      <w:r>
        <w:t xml:space="preserve">.</w:t>
      </w:r>
    </w:p>
    <w:bookmarkEnd w:id="11"/>
    <w:bookmarkStart w:id="12" w:name="Xa1fa227b9bfa4c9994da1f5e586d308cdfd71ee"/>
    <w:p>
      <w:pPr>
        <w:pStyle w:val="Heading3"/>
      </w:pPr>
      <w:r>
        <w:t xml:space="preserve">3. Consumer health and advanced diagnostics remain the upside levers</w:t>
      </w:r>
    </w:p>
    <w:p>
      <w:pPr>
        <w:pStyle w:val="FirstParagraph"/>
      </w:pPr>
      <w:r>
        <w:t xml:space="preserve">Quest’s consumer strategy is evolving from a small direct-to-consumer business into a broader diagnostic “engine” for wellness platforms and wearables. In 1Q:</w:t>
      </w:r>
    </w:p>
    <w:p>
      <w:pPr>
        <w:pStyle w:val="Compact"/>
        <w:numPr>
          <w:ilvl w:val="0"/>
          <w:numId w:val="1003"/>
        </w:numPr>
      </w:pPr>
      <w:r>
        <w:t xml:space="preserve">Questhealth.com grew in the</w:t>
      </w:r>
      <w:r>
        <w:t xml:space="preserve"> </w:t>
      </w:r>
      <w:r>
        <w:rPr>
          <w:b/>
          <w:bCs/>
        </w:rPr>
        <w:t xml:space="preserve">high-20% range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Wellness and wearable partnerships grew even faster, according to management.</w:t>
      </w:r>
    </w:p>
    <w:p>
      <w:pPr>
        <w:pStyle w:val="Compact"/>
        <w:numPr>
          <w:ilvl w:val="0"/>
          <w:numId w:val="1003"/>
        </w:numPr>
      </w:pPr>
      <w:r>
        <w:t xml:space="preserve">Management characterized the economics as at least in line with—and potentially modestly better than—enterprise-average margins, helped by cash-pay/client-bill economics and low denial exposure.</w:t>
      </w:r>
    </w:p>
    <w:p>
      <w:pPr>
        <w:pStyle w:val="FirstParagraph"/>
      </w:pPr>
      <w:r>
        <w:t xml:space="preserve">The most important advanced-diagnostics markers to watch are: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Brain health / AD-Detect:</w:t>
      </w:r>
      <w:r>
        <w:t xml:space="preserve"> </w:t>
      </w:r>
      <w:r>
        <w:t xml:space="preserve">management said the Alzheimer’s testing franchise more than doubled year over year in 1Q.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Cardiometabolic and endocrine:</w:t>
      </w:r>
      <w:r>
        <w:t xml:space="preserve"> </w:t>
      </w:r>
      <w:r>
        <w:t xml:space="preserve">Lp(a), ApoB, kidney, liver, and hormone testing have been important mix contributors.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Women’s and reproductive health / autoimmune testing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Haystack MRD oncology testing:</w:t>
      </w:r>
      <w:r>
        <w:t xml:space="preserve"> </w:t>
      </w:r>
      <w:r>
        <w:t xml:space="preserve">likely not a material 2Q earnings driver yet, but progress on commercial adoption, reimbursement, and physician conversion could influence the long-term growth narrative.</w:t>
      </w:r>
    </w:p>
    <w:p>
      <w:pPr>
        <w:pStyle w:val="FirstParagraph"/>
      </w:pPr>
      <w:r>
        <w:t xml:space="preserve">A repeat of strong test-per-requisition growth would support the argument that Quest is gaining a structurally better mix of testing, not merely benefiting from contract implementations.</w:t>
      </w:r>
    </w:p>
    <w:bookmarkEnd w:id="12"/>
    <w:bookmarkEnd w:id="13"/>
    <w:bookmarkStart w:id="14" w:name="Xdd44482b6de7cd6a379796e3d1dcd92892887e2"/>
    <w:p>
      <w:pPr>
        <w:pStyle w:val="Heading2"/>
      </w:pPr>
      <w:r>
        <w:t xml:space="preserve">Guidance: room for another raise, but the bar is not low</w:t>
      </w:r>
    </w:p>
    <w:p>
      <w:pPr>
        <w:pStyle w:val="FirstParagraph"/>
      </w:pPr>
      <w:r>
        <w:t xml:space="preserve">Following 1Q, Quest raised 2026 guidance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11.78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11.90B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6.8%–7.8%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10.63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10.83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9.58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9.78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from operations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~$1.75B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~$550M</w:t>
            </w:r>
          </w:p>
        </w:tc>
      </w:tr>
    </w:tbl>
    <w:p>
      <w:pPr>
        <w:pStyle w:val="BodyText"/>
      </w:pPr>
      <w:r>
        <w:t xml:space="preserve">Management indicated that just over</w:t>
      </w:r>
      <w:r>
        <w:t xml:space="preserve"> </w:t>
      </w:r>
      <w:r>
        <w:rPr>
          <w:b/>
          <w:bCs/>
        </w:rPr>
        <w:t xml:space="preserve">49% of annual revenue and EPS</w:t>
      </w:r>
      <w:r>
        <w:t xml:space="preserve"> </w:t>
      </w:r>
      <w:r>
        <w:t xml:space="preserve">should occur in the first half, versus just over 50% in the second half. This places meaningful weight on the 2Q print: a strong quarter could create room for another upward revision, while merely meeting expectations may reinforce the existing full-year range rather than compel a raise.</w:t>
      </w:r>
    </w:p>
    <w:p>
      <w:pPr>
        <w:pStyle w:val="BodyText"/>
      </w:pPr>
      <w:r>
        <w:rPr>
          <w:b/>
          <w:bCs/>
        </w:rPr>
        <w:t xml:space="preserve">My read:</w:t>
      </w:r>
      <w:r>
        <w:t xml:space="preserve"> </w:t>
      </w:r>
      <w:r>
        <w:t xml:space="preserve">a guidance increase would likely require management confidence that underlying utilization, favorable test mix, and consumer-health demand are persisting—not simply continued ramping of Corewell and Fresenius.</w:t>
      </w:r>
    </w:p>
    <w:bookmarkEnd w:id="14"/>
    <w:bookmarkStart w:id="17" w:name="margin-and-eps-watch-items"/>
    <w:p>
      <w:pPr>
        <w:pStyle w:val="Heading2"/>
      </w:pPr>
      <w:r>
        <w:t xml:space="preserve">Margin and EPS watch items</w:t>
      </w:r>
    </w:p>
    <w:bookmarkStart w:id="15" w:name="positives"/>
    <w:p>
      <w:pPr>
        <w:pStyle w:val="Heading3"/>
      </w:pPr>
      <w:r>
        <w:t xml:space="preserve">Positives</w:t>
      </w:r>
    </w:p>
    <w:p>
      <w:pPr>
        <w:pStyle w:val="Compact"/>
        <w:numPr>
          <w:ilvl w:val="0"/>
          <w:numId w:val="1005"/>
        </w:numPr>
      </w:pPr>
      <w:r>
        <w:t xml:space="preserve">The Invigorate productivity program continues to target</w:t>
      </w:r>
      <w:r>
        <w:t xml:space="preserve"> </w:t>
      </w:r>
      <w:r>
        <w:rPr>
          <w:b/>
          <w:bCs/>
        </w:rPr>
        <w:t xml:space="preserve">3% annual savings/productivity improvement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Automation and AI are being deployed in lab operations, customer-service workflows, and patient reporting.</w:t>
      </w:r>
    </w:p>
    <w:p>
      <w:pPr>
        <w:pStyle w:val="Compact"/>
        <w:numPr>
          <w:ilvl w:val="0"/>
          <w:numId w:val="1005"/>
        </w:numPr>
      </w:pPr>
      <w:r>
        <w:t xml:space="preserve">Lower interest expense aided 1Q EPS growth.</w:t>
      </w:r>
    </w:p>
    <w:p>
      <w:pPr>
        <w:pStyle w:val="Compact"/>
        <w:numPr>
          <w:ilvl w:val="0"/>
          <w:numId w:val="1005"/>
        </w:numPr>
      </w:pPr>
      <w:r>
        <w:t xml:space="preserve">Corewell/Fresenius margin profiles should improve as implementation and ramp costs are absorbed.</w:t>
      </w:r>
    </w:p>
    <w:bookmarkEnd w:id="15"/>
    <w:bookmarkStart w:id="16" w:name="offsets"/>
    <w:p>
      <w:pPr>
        <w:pStyle w:val="Heading3"/>
      </w:pPr>
      <w:r>
        <w:t xml:space="preserve">Offsets</w:t>
      </w:r>
    </w:p>
    <w:p>
      <w:pPr>
        <w:pStyle w:val="Compact"/>
        <w:numPr>
          <w:ilvl w:val="0"/>
          <w:numId w:val="1006"/>
        </w:numPr>
      </w:pPr>
      <w:r>
        <w:t xml:space="preserve">Wage inflation remains a recurring pressure.</w:t>
      </w:r>
    </w:p>
    <w:p>
      <w:pPr>
        <w:pStyle w:val="Compact"/>
        <w:numPr>
          <w:ilvl w:val="0"/>
          <w:numId w:val="1006"/>
        </w:numPr>
      </w:pPr>
      <w:r>
        <w:t xml:space="preserve">Project Nova—Quest’s multiyear order-to-cash modernization program—remains a</w:t>
      </w:r>
      <w:r>
        <w:t xml:space="preserve"> </w:t>
      </w:r>
      <w:r>
        <w:rPr>
          <w:b/>
          <w:bCs/>
        </w:rPr>
        <w:t xml:space="preserve">$0.25 full-year adjusted-EPS headwind</w:t>
      </w:r>
      <w:r>
        <w:t xml:space="preserve">, with spending ramping in 2Q and more than 60% expected in the second half.</w:t>
      </w:r>
    </w:p>
    <w:p>
      <w:pPr>
        <w:pStyle w:val="Compact"/>
        <w:numPr>
          <w:ilvl w:val="0"/>
          <w:numId w:val="1006"/>
        </w:numPr>
      </w:pPr>
      <w:r>
        <w:t xml:space="preserve">Management has embedded</w:t>
      </w:r>
      <w:r>
        <w:t xml:space="preserve"> </w:t>
      </w:r>
      <m:oMath>
        <m:r>
          <m:t>7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10M of higher fuel expense</w:t>
      </w:r>
      <w:r>
        <w:t xml:space="preserve"> </w:t>
      </w:r>
      <w:r>
        <w:t xml:space="preserve">across 2Q–4Q, equivalent to roughly</w:t>
      </w:r>
      <w:r>
        <w:t xml:space="preserve"> </w:t>
      </w:r>
      <m:oMath>
        <m:r>
          <m:t>0.05</m:t>
        </m:r>
        <m:r>
          <m:rPr>
            <m:sty m:val="p"/>
          </m:rPr>
          <m:t>–</m:t>
        </m:r>
      </m:oMath>
      <w:r>
        <w:rPr>
          <w:b/>
          <w:bCs/>
        </w:rPr>
        <w:t xml:space="preserve">0.07 of EPS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1Q cash from operations fell to</w:t>
      </w:r>
      <w:r>
        <w:t xml:space="preserve"> </w:t>
      </w:r>
      <w:r>
        <w:rPr>
          <w:b/>
          <w:bCs/>
        </w:rPr>
        <w:t xml:space="preserve">$278M</w:t>
      </w:r>
      <w:r>
        <w:t xml:space="preserve"> </w:t>
      </w:r>
      <w:r>
        <w:t xml:space="preserve">from $314M, primarily due to working-capital timing and higher bonus payments; investors should look for normalization in 2Q year-to-date cash conversion.</w:t>
      </w:r>
    </w:p>
    <w:p>
      <w:pPr>
        <w:pStyle w:val="FirstParagraph"/>
      </w:pPr>
      <w:r>
        <w:t xml:space="preserve">The most constructive 2Q outcome would combine solid organic growth with at least stable adjusted operating margin, showing that productivity is covering wage, fuel, and transformation-investment pressures.</w:t>
      </w:r>
    </w:p>
    <w:bookmarkEnd w:id="16"/>
    <w:bookmarkEnd w:id="17"/>
    <w:bookmarkStart w:id="18" w:name="Xfb8a9ea89f62ace2b3338e695ae17850dfee6d1"/>
    <w:p>
      <w:pPr>
        <w:pStyle w:val="Heading2"/>
      </w:pPr>
      <w:r>
        <w:t xml:space="preserve">Policy and reimbursement: not a 2Q earnings issue, but important for valuation</w:t>
      </w:r>
    </w:p>
    <w:p>
      <w:pPr>
        <w:pStyle w:val="FirstParagraph"/>
      </w:pPr>
      <w:r>
        <w:t xml:space="preserve">The immediate reimbursement backdrop appears manageable:</w:t>
      </w:r>
    </w:p>
    <w:p>
      <w:pPr>
        <w:pStyle w:val="Compact"/>
        <w:numPr>
          <w:ilvl w:val="0"/>
          <w:numId w:val="1007"/>
        </w:numPr>
      </w:pPr>
      <w:r>
        <w:t xml:space="preserve">Quest has assumed a</w:t>
      </w:r>
      <w:r>
        <w:t xml:space="preserve"> </w:t>
      </w:r>
      <w:r>
        <w:rPr>
          <w:b/>
          <w:bCs/>
        </w:rPr>
        <w:t xml:space="preserve">30-basis-point revenue impact</w:t>
      </w:r>
      <w:r>
        <w:t xml:space="preserve"> </w:t>
      </w:r>
      <w:r>
        <w:t xml:space="preserve">in 2026 from ACA-related coverage changes, although management said it had not yet seen a meaningful impact in 1Q.</w:t>
      </w:r>
    </w:p>
    <w:p>
      <w:pPr>
        <w:pStyle w:val="Compact"/>
        <w:numPr>
          <w:ilvl w:val="0"/>
          <w:numId w:val="1007"/>
        </w:numPr>
      </w:pPr>
      <w:r>
        <w:t xml:space="preserve">Management does not expect the CMS CRUSH initiative to have a material direct impact on Quest, arguing its exposure to the laboratory tests identified as key spending drivers is minimal.</w:t>
      </w:r>
    </w:p>
    <w:p>
      <w:pPr>
        <w:pStyle w:val="Compact"/>
        <w:numPr>
          <w:ilvl w:val="0"/>
          <w:numId w:val="1007"/>
        </w:numPr>
      </w:pPr>
      <w:r>
        <w:t xml:space="preserve">The more consequential issue is</w:t>
      </w:r>
      <w:r>
        <w:t xml:space="preserve"> </w:t>
      </w:r>
      <w:r>
        <w:rPr>
          <w:b/>
          <w:bCs/>
        </w:rPr>
        <w:t xml:space="preserve">PAMA reimbursement for 2027</w:t>
      </w:r>
      <w:r>
        <w:t xml:space="preserve">. Quest believes broader laboratory participation in current rate reporting could lead to more representative—and potentially better—rates. Conversely, uncertainty around legislation and the RESULTS Act remains an overhang.</w:t>
      </w:r>
    </w:p>
    <w:p>
      <w:pPr>
        <w:pStyle w:val="FirstParagraph"/>
      </w:pPr>
      <w:r>
        <w:t xml:space="preserve">This is principally a</w:t>
      </w:r>
      <w:r>
        <w:t xml:space="preserve"> </w:t>
      </w:r>
      <w:r>
        <w:rPr>
          <w:b/>
          <w:bCs/>
        </w:rPr>
        <w:t xml:space="preserve">2027 earnings-power and multiple</w:t>
      </w:r>
      <w:r>
        <w:t xml:space="preserve"> </w:t>
      </w:r>
      <w:r>
        <w:t xml:space="preserve">issue, not a reason to expect a significant 2Q26 surprise.</w:t>
      </w:r>
    </w:p>
    <w:bookmarkEnd w:id="18"/>
    <w:bookmarkStart w:id="19" w:name="what-would-make-the-quarter-bullish"/>
    <w:p>
      <w:pPr>
        <w:pStyle w:val="Heading2"/>
      </w:pPr>
      <w:r>
        <w:t xml:space="preserve">What would make the quarter bullish?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Underlying organic volume remains in the mid-single digits or better</w:t>
      </w:r>
      <w:r>
        <w:t xml:space="preserve">, excluding Corewell and Fresenius.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Positive ex-partnership revenue per requisition</w:t>
      </w:r>
      <w:r>
        <w:t xml:space="preserve">, driven by test density and advanced diagnostics.</w:t>
      </w:r>
    </w:p>
    <w:p>
      <w:pPr>
        <w:pStyle w:val="Compact"/>
        <w:numPr>
          <w:ilvl w:val="0"/>
          <w:numId w:val="1008"/>
        </w:numPr>
      </w:pPr>
      <w:r>
        <w:t xml:space="preserve">Consumer/wellness growth remains strong and management provides evidence of sustained partnership momentum.</w:t>
      </w:r>
    </w:p>
    <w:p>
      <w:pPr>
        <w:pStyle w:val="Compact"/>
        <w:numPr>
          <w:ilvl w:val="0"/>
          <w:numId w:val="1008"/>
        </w:numPr>
      </w:pPr>
      <w:r>
        <w:t xml:space="preserve">Adjusted operating margin is resilient despite Nova spending and fuel costs.</w:t>
      </w:r>
    </w:p>
    <w:p>
      <w:pPr>
        <w:pStyle w:val="Compact"/>
        <w:numPr>
          <w:ilvl w:val="0"/>
          <w:numId w:val="1008"/>
        </w:numPr>
      </w:pPr>
      <w:r>
        <w:t xml:space="preserve">Full-year revenue or adjusted-EPS guidance is raised again, or management signals material upside to the current range.</w:t>
      </w:r>
    </w:p>
    <w:p>
      <w:pPr>
        <w:pStyle w:val="Compact"/>
        <w:numPr>
          <w:ilvl w:val="0"/>
          <w:numId w:val="1008"/>
        </w:numPr>
      </w:pPr>
      <w:r>
        <w:t xml:space="preserve">Clear evidence that Fresenius and Corewell are moving along expected margin-improvement curves.</w:t>
      </w:r>
    </w:p>
    <w:bookmarkEnd w:id="19"/>
    <w:bookmarkStart w:id="20" w:name="what-would-disappoint"/>
    <w:p>
      <w:pPr>
        <w:pStyle w:val="Heading2"/>
      </w:pPr>
      <w:r>
        <w:t xml:space="preserve">What would disappoint?</w:t>
      </w:r>
    </w:p>
    <w:p>
      <w:pPr>
        <w:pStyle w:val="Compact"/>
        <w:numPr>
          <w:ilvl w:val="0"/>
          <w:numId w:val="1009"/>
        </w:numPr>
      </w:pPr>
      <w:r>
        <w:t xml:space="preserve">Growth is disproportionately partnership-driven, with a noticeable slowdown in legacy physician or consumer demand.</w:t>
      </w:r>
    </w:p>
    <w:p>
      <w:pPr>
        <w:pStyle w:val="Compact"/>
        <w:numPr>
          <w:ilvl w:val="0"/>
          <w:numId w:val="1009"/>
        </w:numPr>
      </w:pPr>
      <w:r>
        <w:t xml:space="preserve">Revenue per requisition weakens even after adjusting for the Corewell/Fresenius mix effect.</w:t>
      </w:r>
    </w:p>
    <w:p>
      <w:pPr>
        <w:pStyle w:val="Compact"/>
        <w:numPr>
          <w:ilvl w:val="0"/>
          <w:numId w:val="1009"/>
        </w:numPr>
      </w:pPr>
      <w:r>
        <w:t xml:space="preserve">Margin performance implies Nova, labor, or fuel costs are outpacing productivity savings.</w:t>
      </w:r>
    </w:p>
    <w:p>
      <w:pPr>
        <w:pStyle w:val="Compact"/>
        <w:numPr>
          <w:ilvl w:val="0"/>
          <w:numId w:val="1009"/>
        </w:numPr>
      </w:pPr>
      <w:r>
        <w:t xml:space="preserve">Management maintains guidance but turns more cautious on second-half utilization or consumer demand.</w:t>
      </w:r>
    </w:p>
    <w:p>
      <w:pPr>
        <w:pStyle w:val="Compact"/>
        <w:numPr>
          <w:ilvl w:val="0"/>
          <w:numId w:val="1009"/>
        </w:numPr>
      </w:pPr>
      <w:r>
        <w:t xml:space="preserve">ACA enrollment attrition or reimbursement commentary becomes incrementally worse.</w:t>
      </w:r>
    </w:p>
    <w:p>
      <w:pPr>
        <w:pStyle w:val="Compact"/>
        <w:numPr>
          <w:ilvl w:val="0"/>
          <w:numId w:val="1009"/>
        </w:numPr>
      </w:pPr>
      <w:r>
        <w:t xml:space="preserve">Haystack adoption/reimbursement progress remains slow enough to weaken confidence in the oncology growth option.</w: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DGX’s 2Q report should be judged on</w:t>
      </w:r>
      <w:r>
        <w:t xml:space="preserve"> </w:t>
      </w:r>
      <w:r>
        <w:rPr>
          <w:b/>
          <w:bCs/>
        </w:rPr>
        <w:t xml:space="preserve">organic growth durability and mix</w:t>
      </w:r>
      <w:r>
        <w:t xml:space="preserve">, rather than headline volume alone. The company has credible near-term revenue catalysts from Corewell and Fresenius, but the higher-quality indicators are continued growth in advanced diagnostics, consumer health, tests per requisition, and ex-partnership revenue per requisition.</w:t>
      </w:r>
    </w:p>
    <w:p>
      <w:pPr>
        <w:pStyle w:val="BodyText"/>
      </w:pPr>
      <w:r>
        <w:t xml:space="preserve">Quest’s 1Q execution established a favorable setup: raised guidance, broad-based utilization, productivity gains, and attractive consumer-health momentum. For the stock to respond well, investors will likely want confirmation that this was not a one-quarter surge—and preferably another signal that the 2026 guidance range remains conservative.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2026-07-23T00:20:53Z</dcterms:created>
  <dcterms:modified xsi:type="dcterms:W3CDTF">2026-07-23T00:20:53Z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