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hi-earnings-predictions--2026-07-21"/>
    <w:p>
      <w:pPr>
        <w:pStyle w:val="Heading1"/>
      </w:pPr>
      <w:r>
        <w:t xml:space="preserve">DHI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3.10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Home sales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~20.1% vs. cons ~19.9%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orders (homes)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~21,800 vs. cons ~22,800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closings / revenue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~85,500–87,000 homes / ~</w:t>
            </w:r>
            <m:oMath>
              <m:r>
                <m:t>33.5</m:t>
              </m:r>
              <m:r>
                <m:rPr>
                  <m:sty m:val="p"/>
                </m:rPr>
                <m:t>–</m:t>
              </m:r>
              <m:r>
                <m:t>34.2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t>86</m:t>
              </m:r>
              <m:r>
                <m:rPr>
                  <m:sty m:val="p"/>
                </m:rPr>
                <m:t>,</m:t>
              </m:r>
              <m:r>
                <m:t>800</m:t>
              </m:r>
              <m:r>
                <m:rPr>
                  <m:sty m:val="p"/>
                </m:rPr>
                <m:t>/</m:t>
              </m:r>
              <m:r>
                <m:t> </m:t>
              </m:r>
            </m:oMath>
            <w:r>
              <w:t xml:space="preserve">34B (FY26) — third straight top-end nudge down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Q4'26 home sales gross margin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~19.5–20.0% vs. cons ~19.8% (FQ4'26) — construction-cost savings offset by lot-cost/oil input creep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Sales incentives (% of revenue)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~10%+ of revenue, stay elevated vs. cons hope ~10% moderating (FY26 H2) — worse than bulls want given hawkish rates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share repurchases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</m:t>
              </m:r>
              <m:r>
                <m:t>B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+</m:t>
              </m:r>
              <m:r>
                <m:t> </m:t>
              </m:r>
            </m:oMath>
            <w:r>
              <w:t xml:space="preserve">500M dividends vs. cons ~$2.5B (FY26); upside risk as stock cheap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Setup mirrors last July (stock reset ~13% off highs into print, DHI's habitual beat-and-sandbag; FQ3'25 popped +17%), so a P&amp;L/margin beat plus 'demand holding' commentary likely sparks a relief pop day-1. But out-period math pulls it back: a third consecutive top-end trim to FY26 closings/revenue, flat-to-down ASP with incentives stuck ~10%, and FY27 input-cost (oil/lot) caution give analysts reason to trim out-quarter estimates even after the beat — so the initial gain partially fades rather than compounds.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2026-07-21T00:14:14Z</dcterms:created>
  <dcterms:modified xsi:type="dcterms:W3CDTF">2026-07-21T00:14:14Z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