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D.R. Horton (DHI) before writing the preview. Let me gather recent earnings, filings, news, and stock data.Let me read the most recent earnings call transcript and get recent news.Let me get analyst consensus expectations and recent housing/macro context.# D.R. Horton (DHI) — Fiscal Q3 2026 Earnings Preview</w:t>
      </w:r>
    </w:p>
    <w:bookmarkStart w:id="9" w:name="X8deaa1f5510adcb3be67ffa6fada65675b7c770"/>
    <w:p>
      <w:pPr>
        <w:pStyle w:val="Heading3"/>
      </w:pPr>
      <w:r>
        <w:t xml:space="preserve">Reports Tuesday, July 21, 2026 (before market open) | Quarter ended June 30, 2026</w:t>
      </w:r>
    </w:p>
    <w:p>
      <w:r>
        <w:pict>
          <v:rect style="width:0;height:1.5pt" o:hralign="center" o:hrstd="t" o:hr="t"/>
        </w:pict>
      </w:r>
    </w:p>
    <w:bookmarkEnd w:id="9"/>
    <w:bookmarkStart w:id="10" w:name="the-setup-in-one-paragraph"/>
    <w:p>
      <w:pPr>
        <w:pStyle w:val="Heading2"/>
      </w:pPr>
      <w:r>
        <w:t xml:space="preserve">The Setup in One Paragraph</w:t>
      </w:r>
    </w:p>
    <w:p>
      <w:pPr>
        <w:pStyle w:val="FirstParagraph"/>
      </w:pPr>
      <w:r>
        <w:t xml:space="preserve">D.R. Horton heads into its fiscal Q3 print as the clear share-of-market leader in an unloved group. The story remains the same tug-of-war it's been for a year: resilient order volume and disciplined inventory management on one side, versus stubbornly elevated sales incentives, a declining average selling price, and a hostile affordability/rate backdrop on the other. The market will care far less about the headline EPS beat/miss than about</w:t>
      </w:r>
      <w:r>
        <w:t xml:space="preserve"> </w:t>
      </w:r>
      <w:r>
        <w:rPr>
          <w:b/>
          <w:bCs/>
        </w:rPr>
        <w:t xml:space="preserve">incentive levels, gross-margin trajectory, and whether management holds or trims full-year guidance</w:t>
      </w:r>
      <w:r>
        <w:t xml:space="preserve">.</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 (FQ3'26)</w:t>
            </w:r>
          </w:p>
        </w:tc>
        <w:tc>
          <w:tcPr/>
          <w:p>
            <w:pPr>
              <w:pStyle w:val="Compact"/>
            </w:pPr>
            <w:r>
              <w:t xml:space="preserve">Consensus</w:t>
            </w:r>
          </w:p>
        </w:tc>
        <w:tc>
          <w:tcPr/>
          <w:p>
            <w:pPr>
              <w:pStyle w:val="Compact"/>
            </w:pPr>
            <w:r>
              <w:t xml:space="preserve">Year-Ago</w:t>
            </w:r>
          </w:p>
        </w:tc>
        <w:tc>
          <w:tcPr/>
          <w:p>
            <w:pPr>
              <w:pStyle w:val="Compact"/>
            </w:pPr>
            <w:r>
              <w:t xml:space="preserve">Implied Y/Y</w:t>
            </w:r>
          </w:p>
        </w:tc>
      </w:tr>
      <w:tr>
        <w:tc>
          <w:tcPr/>
          <w:p>
            <w:pPr>
              <w:pStyle w:val="Compact"/>
            </w:pPr>
            <w:r>
              <w:t xml:space="preserve">Diluted EPS</w:t>
            </w:r>
          </w:p>
        </w:tc>
        <w:tc>
          <w:tcPr/>
          <w:p>
            <w:pPr>
              <w:pStyle w:val="Compact"/>
            </w:pPr>
            <w:r>
              <w:t xml:space="preserve">~$3.00</w:t>
            </w:r>
          </w:p>
        </w:tc>
        <w:tc>
          <w:tcPr/>
          <w:p>
            <w:pPr>
              <w:pStyle w:val="Compact"/>
            </w:pPr>
            <w:r>
              <w:t xml:space="preserve">$3.36</w:t>
            </w:r>
          </w:p>
        </w:tc>
        <w:tc>
          <w:tcPr/>
          <w:p>
            <w:pPr>
              <w:pStyle w:val="Compact"/>
            </w:pPr>
            <w:r>
              <w:t xml:space="preserve">~ -11%</w:t>
            </w:r>
          </w:p>
        </w:tc>
      </w:tr>
      <w:tr>
        <w:tc>
          <w:tcPr/>
          <w:p>
            <w:pPr>
              <w:pStyle w:val="Compact"/>
            </w:pPr>
            <w:r>
              <w:t xml:space="preserve">Revenue</w:t>
            </w:r>
          </w:p>
        </w:tc>
        <w:tc>
          <w:tcPr/>
          <w:p>
            <w:pPr>
              <w:pStyle w:val="Compact"/>
            </w:pPr>
            <w:r>
              <w:t xml:space="preserve">~$9.18B</w:t>
            </w:r>
          </w:p>
        </w:tc>
        <w:tc>
          <w:tcPr/>
          <w:p>
            <w:pPr>
              <w:pStyle w:val="Compact"/>
            </w:pPr>
            <w:r>
              <w:t xml:space="preserve">~$9.2B</w:t>
            </w:r>
          </w:p>
        </w:tc>
        <w:tc>
          <w:tcPr/>
          <w:p>
            <w:pPr>
              <w:pStyle w:val="Compact"/>
            </w:pPr>
            <w:r>
              <w:t xml:space="preserve">~ -0.4% (roughly flat)</w:t>
            </w:r>
          </w:p>
        </w:tc>
      </w:tr>
      <w:tr>
        <w:tc>
          <w:tcPr/>
          <w:p>
            <w:pPr>
              <w:pStyle w:val="Compact"/>
            </w:pPr>
            <w:r>
              <w:t xml:space="preserve">Homebuilding pre-tax income</w:t>
            </w:r>
          </w:p>
        </w:tc>
        <w:tc>
          <w:tcPr/>
          <w:p>
            <w:pPr>
              <w:pStyle w:val="Compact"/>
            </w:pPr>
            <w:r>
              <w:t xml:space="preserve">~$1.02B</w:t>
            </w:r>
          </w:p>
        </w:tc>
        <w:tc>
          <w:tcPr/>
          <w:p>
            <w:pPr>
              <w:pStyle w:val="Compact"/>
            </w:pPr>
            <w:r>
              <w:t xml:space="preserve">~$1.19B</w:t>
            </w:r>
          </w:p>
        </w:tc>
        <w:tc>
          <w:tcPr/>
          <w:p>
            <w:pPr>
              <w:pStyle w:val="Compact"/>
            </w:pPr>
            <w:r>
              <w:t xml:space="preserve">down</w:t>
            </w:r>
          </w:p>
        </w:tc>
      </w:tr>
    </w:tbl>
    <w:p>
      <w:pPr>
        <w:pStyle w:val="BodyText"/>
      </w:pPr>
      <w:r>
        <w:t xml:space="preserve">Analysts expect the year-over-year EPS decline to run in the low double digits, driven by a lower ASP and richer incentives compressing pre-tax margin, even as closings volume holds up. For the full fiscal year, consensus sits around **</w:t>
      </w:r>
      <m:oMath>
        <m:r>
          <m:t>10.6</m:t>
        </m:r>
        <m:r>
          <m:t>i</m:t>
        </m:r>
        <m:r>
          <m:t>n</m:t>
        </m:r>
        <m:r>
          <m:t>E</m:t>
        </m:r>
        <m:r>
          <m:t>P</m:t>
        </m:r>
        <m:r>
          <m:t>S</m:t>
        </m:r>
        <m:r>
          <m:rPr>
            <m:sty m:val="p"/>
          </m:rPr>
          <m:t>(</m:t>
        </m:r>
        <m:r>
          <m:t>d</m:t>
        </m:r>
        <m:r>
          <m:t>o</m:t>
        </m:r>
        <m:r>
          <m:t>w</m:t>
        </m:r>
        <m:r>
          <m:t>n</m:t>
        </m:r>
        <m:r>
          <m:t> </m:t>
        </m:r>
        <m:r>
          <m:t>8</m:t>
        </m:r>
      </m:oMath>
      <w:r>
        <w:t xml:space="preserve">12) expected in FY27.</w:t>
      </w:r>
    </w:p>
    <w:bookmarkEnd w:id="11"/>
    <w:bookmarkStart w:id="12" w:name="company-guidance-to-grade-against"/>
    <w:p>
      <w:pPr>
        <w:pStyle w:val="Heading2"/>
      </w:pPr>
      <w:r>
        <w:t xml:space="preserve">Company Guidance to Grade Against</w:t>
      </w:r>
    </w:p>
    <w:p>
      <w:pPr>
        <w:pStyle w:val="FirstParagraph"/>
      </w:pPr>
      <w:r>
        <w:t xml:space="preserve">From the April (Q2) call, management guided FQ3 to:</w:t>
      </w:r>
    </w:p>
    <w:p>
      <w:pPr>
        <w:pStyle w:val="Compact"/>
        <w:numPr>
          <w:ilvl w:val="0"/>
          <w:numId w:val="1001"/>
        </w:numPr>
      </w:pPr>
      <w:r>
        <w:rPr>
          <w:b/>
          <w:bCs/>
        </w:rPr>
        <w:t xml:space="preserve">Revenue: $8.8B – $9.3B</w:t>
      </w:r>
    </w:p>
    <w:p>
      <w:pPr>
        <w:pStyle w:val="Compact"/>
        <w:numPr>
          <w:ilvl w:val="0"/>
          <w:numId w:val="1001"/>
        </w:numPr>
      </w:pPr>
      <w:r>
        <w:rPr>
          <w:b/>
          <w:bCs/>
        </w:rPr>
        <w:t xml:space="preserve">Homes closed: 23,500 – 24,000</w:t>
      </w:r>
    </w:p>
    <w:p>
      <w:pPr>
        <w:pStyle w:val="Compact"/>
        <w:numPr>
          <w:ilvl w:val="0"/>
          <w:numId w:val="1001"/>
        </w:numPr>
      </w:pPr>
      <w:r>
        <w:rPr>
          <w:b/>
          <w:bCs/>
        </w:rPr>
        <w:t xml:space="preserve">Home sales gross margin: 19.7% – 20.2%</w:t>
      </w:r>
    </w:p>
    <w:p>
      <w:pPr>
        <w:pStyle w:val="Compact"/>
        <w:numPr>
          <w:ilvl w:val="0"/>
          <w:numId w:val="1001"/>
        </w:numPr>
      </w:pPr>
      <w:r>
        <w:rPr>
          <w:b/>
          <w:bCs/>
        </w:rPr>
        <w:t xml:space="preserve">Consolidated pre-tax margin: 12.2% – 12.7%</w:t>
      </w:r>
    </w:p>
    <w:p>
      <w:pPr>
        <w:pStyle w:val="FirstParagraph"/>
      </w:pPr>
      <w:r>
        <w:t xml:space="preserve">Full-year FY26 framework:</w:t>
      </w:r>
      <w:r>
        <w:t xml:space="preserve"> </w:t>
      </w:r>
      <w:r>
        <w:rPr>
          <w:b/>
          <w:bCs/>
        </w:rPr>
        <w:t xml:space="preserve">revenue</w:t>
      </w:r>
      <w:r>
        <w:rPr>
          <w:b/>
          <w:bCs/>
        </w:rPr>
        <w:t xml:space="preserve"> </w:t>
      </w:r>
      <m:oMath>
        <m:r>
          <m:t>33.5</m:t>
        </m:r>
        <m:r>
          <m:t>B</m:t>
        </m:r>
        <m:r>
          <m:rPr>
            <m:sty m:val="p"/>
          </m:rPr>
          <m:t>–</m:t>
        </m:r>
      </m:oMath>
      <w:r>
        <w:rPr>
          <w:b/>
          <w:bCs/>
        </w:rPr>
        <w:t xml:space="preserve">34.5B</w:t>
      </w:r>
      <w:r>
        <w:t xml:space="preserve">,</w:t>
      </w:r>
      <w:r>
        <w:t xml:space="preserve"> </w:t>
      </w:r>
      <w:r>
        <w:rPr>
          <w:b/>
          <w:bCs/>
        </w:rPr>
        <w:t xml:space="preserve">86,000–87,500 closings</w:t>
      </w:r>
      <w:r>
        <w:t xml:space="preserve">, ~24.5% tax rate,</w:t>
      </w:r>
      <w:r>
        <w:t xml:space="preserve"> </w:t>
      </w:r>
      <w:r>
        <w:rPr>
          <w:b/>
          <w:bCs/>
        </w:rPr>
        <w:t xml:space="preserve">≥</w:t>
      </w:r>
      <m:oMath>
        <m:r>
          <m:t>3</m:t>
        </m:r>
        <m:r>
          <m:t>B</m:t>
        </m:r>
        <m:r>
          <m:t>o</m:t>
        </m:r>
        <m:r>
          <m:t>p</m:t>
        </m:r>
        <m:r>
          <m:t>e</m:t>
        </m:r>
        <m:r>
          <m:t>r</m:t>
        </m:r>
        <m:r>
          <m:t>a</m:t>
        </m:r>
        <m:r>
          <m:t>t</m:t>
        </m:r>
        <m:r>
          <m:t>i</m:t>
        </m:r>
        <m:r>
          <m:t>n</m:t>
        </m:r>
        <m:r>
          <m:t>g</m:t>
        </m:r>
        <m:r>
          <m:t>c</m:t>
        </m:r>
        <m:r>
          <m:t>a</m:t>
        </m:r>
        <m:r>
          <m:t>s</m:t>
        </m:r>
        <m:r>
          <m:t>h</m:t>
        </m:r>
        <m:r>
          <m:t>f</m:t>
        </m:r>
        <m:r>
          <m:t>l</m:t>
        </m:r>
        <m:r>
          <m:t>o</m:t>
        </m:r>
        <m:r>
          <m:t>w</m:t>
        </m:r>
        <m:r>
          <m:rPr>
            <m:sty m:val="p"/>
          </m:rPr>
          <m:t>*</m:t>
        </m:r>
        <m:r>
          <m:rPr>
            <m:sty m:val="p"/>
          </m:rPr>
          <m:t>*</m:t>
        </m:r>
        <m:r>
          <m:rPr>
            <m:sty m:val="p"/>
          </m:rPr>
          <m:t>,</m:t>
        </m:r>
        <m:r>
          <m:rPr>
            <m:sty m:val="p"/>
          </m:rPr>
          <m:t>*</m:t>
        </m:r>
        <m:r>
          <m:rPr>
            <m:sty m:val="p"/>
          </m:rPr>
          <m:t>*</m:t>
        </m:r>
        <m:r>
          <m:t> </m:t>
        </m:r>
      </m:oMath>
      <w:r>
        <w:rPr>
          <w:b/>
          <w:bCs/>
        </w:rPr>
        <w:t xml:space="preserve">2.5B of buybacks</w:t>
      </w:r>
      <w:r>
        <w:t xml:space="preserve">, and **~$500M of dividends**. Note the top end of the annual closings/revenue guide was already trimmed last quarter after two consecutive light-on-closings quarters — so the credibility of the full-year number is itself a live issue.</w:t>
      </w:r>
    </w:p>
    <w:p>
      <w:r>
        <w:pict>
          <v:rect style="width:0;height:1.5pt" o:hralign="center" o:hrstd="t" o:hr="t"/>
        </w:pict>
      </w:r>
    </w:p>
    <w:bookmarkEnd w:id="12"/>
    <w:bookmarkStart w:id="13" w:name="Xa4f344eb68f3e61389651eca5665de79a474567"/>
    <w:p>
      <w:pPr>
        <w:pStyle w:val="Heading2"/>
      </w:pPr>
      <w:r>
        <w:t xml:space="preserve">Q2 Recap — Why the Stock Rallied Last Time</w:t>
      </w:r>
    </w:p>
    <w:p>
      <w:pPr>
        <w:pStyle w:val="FirstParagraph"/>
      </w:pPr>
      <w:r>
        <w:t xml:space="preserve">The April quarter was a "solid results in a tough market" story that the stock rewarded (+~6% on the day). Key facts to anchor the Q3 comparison:</w:t>
      </w:r>
    </w:p>
    <w:p>
      <w:pPr>
        <w:pStyle w:val="Compact"/>
        <w:numPr>
          <w:ilvl w:val="0"/>
          <w:numId w:val="1002"/>
        </w:numPr>
      </w:pPr>
      <w:r>
        <w:rPr>
          <w:b/>
          <w:bCs/>
        </w:rPr>
        <w:t xml:space="preserve">EPS</w:t>
      </w:r>
      <w:r>
        <w:rPr>
          <w:b/>
          <w:bCs/>
        </w:rPr>
        <w:t xml:space="preserve"> </w:t>
      </w:r>
      <m:oMath>
        <m:r>
          <m:t>2.24</m:t>
        </m:r>
        <m:r>
          <m:rPr>
            <m:sty m:val="p"/>
          </m:rPr>
          <m:t>*</m:t>
        </m:r>
        <m:r>
          <m:rPr>
            <m:sty m:val="p"/>
          </m:rPr>
          <m:t>*</m:t>
        </m:r>
        <m:r>
          <m:t>o</m:t>
        </m:r>
        <m:r>
          <m:t>n</m:t>
        </m:r>
        <m:r>
          <m:rPr>
            <m:sty m:val="p"/>
          </m:rPr>
          <m:t>*</m:t>
        </m:r>
        <m:r>
          <m:rPr>
            <m:sty m:val="p"/>
          </m:rPr>
          <m:t>*</m:t>
        </m:r>
      </m:oMath>
      <w:r>
        <w:rPr>
          <w:b/>
          <w:bCs/>
        </w:rPr>
        <w:t xml:space="preserve">7.6B</w:t>
      </w:r>
      <w:r>
        <w:t xml:space="preserve"> </w:t>
      </w:r>
      <w:r>
        <w:t xml:space="preserve">revenue; pre-tax margin</w:t>
      </w:r>
      <w:r>
        <w:t xml:space="preserve"> </w:t>
      </w:r>
      <w:r>
        <w:rPr>
          <w:b/>
          <w:bCs/>
        </w:rPr>
        <w:t xml:space="preserve">11.5%</w:t>
      </w:r>
      <w:r>
        <w:t xml:space="preserve">.</w:t>
      </w:r>
    </w:p>
    <w:p>
      <w:pPr>
        <w:pStyle w:val="Compact"/>
        <w:numPr>
          <w:ilvl w:val="0"/>
          <w:numId w:val="1002"/>
        </w:numPr>
      </w:pPr>
      <w:r>
        <w:rPr>
          <w:b/>
          <w:bCs/>
        </w:rPr>
        <w:t xml:space="preserve">Net sales orders +11% Y/Y to 24,992 homes</w:t>
      </w:r>
      <w:r>
        <w:t xml:space="preserve"> </w:t>
      </w:r>
      <w:r>
        <w:t xml:space="preserve">— arguably the most important positive signal, matching the ~11% community-count growth (i.e., no absorption erosion).</w:t>
      </w:r>
    </w:p>
    <w:p>
      <w:pPr>
        <w:pStyle w:val="Compact"/>
        <w:numPr>
          <w:ilvl w:val="0"/>
          <w:numId w:val="1002"/>
        </w:numPr>
      </w:pPr>
      <w:r>
        <w:rPr>
          <w:b/>
          <w:bCs/>
        </w:rPr>
        <w:t xml:space="preserve">Cancellation rate 16%</w:t>
      </w:r>
      <w:r>
        <w:t xml:space="preserve">, stable and down sequentially from 18%.</w:t>
      </w:r>
    </w:p>
    <w:p>
      <w:pPr>
        <w:pStyle w:val="Compact"/>
        <w:numPr>
          <w:ilvl w:val="0"/>
          <w:numId w:val="1002"/>
        </w:numPr>
      </w:pPr>
      <w:r>
        <w:rPr>
          <w:b/>
          <w:bCs/>
        </w:rPr>
        <w:t xml:space="preserve">Home sales gross margin 20.1%</w:t>
      </w:r>
      <w:r>
        <w:t xml:space="preserve"> </w:t>
      </w:r>
      <w:r>
        <w:t xml:space="preserve">— but this included a</w:t>
      </w:r>
      <w:r>
        <w:t xml:space="preserve"> </w:t>
      </w:r>
      <w:r>
        <w:rPr>
          <w:b/>
          <w:bCs/>
        </w:rPr>
        <w:t xml:space="preserve">40 bp one-time benefit</w:t>
      </w:r>
      <w:r>
        <w:t xml:space="preserve"> </w:t>
      </w:r>
      <w:r>
        <w:t xml:space="preserve">(favorable litigation + low warranty); "clean" margin was ~</w:t>
      </w:r>
      <w:r>
        <w:rPr>
          <w:b/>
          <w:bCs/>
        </w:rPr>
        <w:t xml:space="preserve">19.7%</w:t>
      </w:r>
      <w:r>
        <w:t xml:space="preserve">.</w:t>
      </w:r>
    </w:p>
    <w:p>
      <w:pPr>
        <w:pStyle w:val="Compact"/>
        <w:numPr>
          <w:ilvl w:val="0"/>
          <w:numId w:val="1002"/>
        </w:numPr>
      </w:pPr>
      <w:r>
        <w:rPr>
          <w:b/>
          <w:bCs/>
        </w:rPr>
        <w:t xml:space="preserve">Incentives ~10% of revenue</w:t>
      </w:r>
      <w:r>
        <w:t xml:space="preserve"> </w:t>
      </w:r>
      <w:r>
        <w:t xml:space="preserve">and expected to stay elevated all year.</w:t>
      </w:r>
    </w:p>
    <w:p>
      <w:pPr>
        <w:pStyle w:val="Compact"/>
        <w:numPr>
          <w:ilvl w:val="0"/>
          <w:numId w:val="1002"/>
        </w:numPr>
      </w:pPr>
      <w:r>
        <w:rPr>
          <w:b/>
          <w:bCs/>
        </w:rPr>
        <w:t xml:space="preserve">Completed/unsold spec down 35% Y/Y</w:t>
      </w:r>
      <w:r>
        <w:t xml:space="preserve"> </w:t>
      </w:r>
      <w:r>
        <w:t xml:space="preserve">— inventory discipline is working; cycle times improved nearly a month Y/Y.</w:t>
      </w:r>
    </w:p>
    <w:p>
      <w:pPr>
        <w:pStyle w:val="Compact"/>
        <w:numPr>
          <w:ilvl w:val="0"/>
          <w:numId w:val="1002"/>
        </w:numPr>
      </w:pPr>
      <w:r>
        <w:rPr>
          <w:b/>
          <w:bCs/>
        </w:rPr>
        <w:t xml:space="preserve">ASP $361,600</w:t>
      </w:r>
      <w:r>
        <w:t xml:space="preserve"> </w:t>
      </w:r>
      <w:r>
        <w:t xml:space="preserve">(down 3% Y/Y); order ASP $366,300 showed the first sequential uptick in over a year.</w:t>
      </w:r>
    </w:p>
    <w:p>
      <w:pPr>
        <w:pStyle w:val="Compact"/>
        <w:numPr>
          <w:ilvl w:val="0"/>
          <w:numId w:val="1002"/>
        </w:numPr>
      </w:pPr>
      <w:r>
        <w:rPr>
          <w:b/>
          <w:bCs/>
        </w:rPr>
        <w:t xml:space="preserve">65% first-time buyers; ~73% of mortgage-company closings used some buydown</w:t>
      </w:r>
      <w:r>
        <w:t xml:space="preserve">, ~10% took an ARM.</w:t>
      </w:r>
    </w:p>
    <w:p>
      <w:r>
        <w:pict>
          <v:rect style="width:0;height:1.5pt" o:hralign="center" o:hrstd="t" o:hr="t"/>
        </w:pict>
      </w:r>
    </w:p>
    <w:bookmarkEnd w:id="13"/>
    <w:bookmarkStart w:id="14" w:name="what-actually-matters-in-this-print"/>
    <w:p>
      <w:pPr>
        <w:pStyle w:val="Heading2"/>
      </w:pPr>
      <w:r>
        <w:t xml:space="preserve">What Actually Matters in This Print</w:t>
      </w:r>
    </w:p>
    <w:p>
      <w:pPr>
        <w:pStyle w:val="FirstParagraph"/>
      </w:pPr>
      <w:r>
        <w:rPr>
          <w:b/>
          <w:bCs/>
        </w:rPr>
        <w:t xml:space="preserve">1. Incentives &amp; the demand/pricing trade-off (the whole ballgame).</w:t>
      </w:r>
      <w:r>
        <w:t xml:space="preserve"> </w:t>
      </w:r>
      <w:r>
        <w:t xml:space="preserve">Incentives at ~10% of revenue are the single biggest swing factor for margin. Management framed Q3 as assuming</w:t>
      </w:r>
      <w:r>
        <w:t xml:space="preserve"> </w:t>
      </w:r>
      <w:r>
        <w:rPr>
          <w:i/>
          <w:iCs/>
        </w:rPr>
        <w:t xml:space="preserve">stable</w:t>
      </w:r>
      <w:r>
        <w:t xml:space="preserve"> </w:t>
      </w:r>
      <w:r>
        <w:t xml:space="preserve">sequential incentives. Watch for: (a) any commentary that incentives crept higher through the June-quarter summer season, (b) mortgage-rate buydown costs (rates have stayed range-bound in the 6–7% zone), and (c) whether order ASP continues to firm. Management has been unwilling to call a "floor" on ASP.</w:t>
      </w:r>
    </w:p>
    <w:p>
      <w:pPr>
        <w:pStyle w:val="BodyText"/>
      </w:pPr>
      <w:r>
        <w:rPr>
          <w:b/>
          <w:bCs/>
        </w:rPr>
        <w:t xml:space="preserve">2. Gross margin — cost tailwind vs. lot-cost headwind.</w:t>
      </w:r>
      <w:r>
        <w:t xml:space="preserve"> </w:t>
      </w:r>
      <w:r>
        <w:t xml:space="preserve">The bull case rests on</w:t>
      </w:r>
      <w:r>
        <w:t xml:space="preserve"> </w:t>
      </w:r>
      <w:r>
        <w:rPr>
          <w:b/>
          <w:bCs/>
        </w:rPr>
        <w:t xml:space="preserve">stick-and-brick construction cost savings</w:t>
      </w:r>
      <w:r>
        <w:t xml:space="preserve"> </w:t>
      </w:r>
      <w:r>
        <w:t xml:space="preserve">(materials + labor, from holding back starts and renegotiating with trades) flowing through Q3/Q4 closings, offsetting</w:t>
      </w:r>
      <w:r>
        <w:t xml:space="preserve"> </w:t>
      </w:r>
      <w:r>
        <w:rPr>
          <w:b/>
          <w:bCs/>
        </w:rPr>
        <w:t xml:space="preserve">lot costs still up ~4% Y/Y</w:t>
      </w:r>
      <w:r>
        <w:t xml:space="preserve">. Any beat above the 19.7–20.2% guided range likely comes from this. The new wrinkle:</w:t>
      </w:r>
      <w:r>
        <w:t xml:space="preserve"> </w:t>
      </w:r>
      <w:r>
        <w:rPr>
          <w:b/>
          <w:bCs/>
        </w:rPr>
        <w:t xml:space="preserve">elevated oil prices</w:t>
      </w:r>
      <w:r>
        <w:t xml:space="preserve"> </w:t>
      </w:r>
      <w:r>
        <w:t xml:space="preserve">(Iran-conflict spike) raise the risk of fuel surcharges / building-product price increases — management said this is a FY27 issue if it persists, but expect pointed analyst questions.</w:t>
      </w:r>
    </w:p>
    <w:p>
      <w:pPr>
        <w:pStyle w:val="BodyText"/>
      </w:pPr>
      <w:r>
        <w:rPr>
          <w:b/>
          <w:bCs/>
        </w:rPr>
        <w:t xml:space="preserve">3. Full-year guidance revision.</w:t>
      </w:r>
      <w:r>
        <w:t xml:space="preserve"> </w:t>
      </w:r>
      <w:r>
        <w:t xml:space="preserve">Given they've missed on closings the last two quarters and already cut the top end, the direction of the FY26 revenue/closings/margin guide is the most likely source of a big stock move. Also watch</w:t>
      </w:r>
      <w:r>
        <w:t xml:space="preserve"> </w:t>
      </w:r>
      <w:r>
        <w:rPr>
          <w:b/>
          <w:bCs/>
        </w:rPr>
        <w:t xml:space="preserve">Q3 starts</w:t>
      </w:r>
      <w:r>
        <w:t xml:space="preserve"> </w:t>
      </w:r>
      <w:r>
        <w:t xml:space="preserve">(guided down sequentially, roughly flat Y/Y) as a read on their demand confidence into fiscal 2027.</w:t>
      </w:r>
    </w:p>
    <w:p>
      <w:pPr>
        <w:pStyle w:val="BodyText"/>
      </w:pPr>
      <w:r>
        <w:rPr>
          <w:b/>
          <w:bCs/>
        </w:rPr>
        <w:t xml:space="preserve">4. Capital returns.</w:t>
      </w:r>
      <w:r>
        <w:t xml:space="preserve"> </w:t>
      </w:r>
      <w:r>
        <w:t xml:space="preserve">DHI is a cash-return machine: it repurchased</w:t>
      </w:r>
      <w:r>
        <w:t xml:space="preserve"> </w:t>
      </w:r>
      <m:oMath>
        <m:r>
          <m:t>904</m:t>
        </m:r>
        <m:r>
          <m:t>M</m:t>
        </m:r>
        <m:r>
          <m:t>o</m:t>
        </m:r>
        <m:r>
          <m:t>f</m:t>
        </m:r>
        <m:r>
          <m:t>s</m:t>
        </m:r>
        <m:r>
          <m:t>t</m:t>
        </m:r>
        <m:r>
          <m:t>o</m:t>
        </m:r>
        <m:r>
          <m:t>c</m:t>
        </m:r>
        <m:r>
          <m:t>k</m:t>
        </m:r>
        <m:r>
          <m:t>i</m:t>
        </m:r>
        <m:r>
          <m:t>n</m:t>
        </m:r>
        <m:r>
          <m:t>Q</m:t>
        </m:r>
        <m:r>
          <m:t>2</m:t>
        </m:r>
        <m:r>
          <m:t>a</m:t>
        </m:r>
        <m:r>
          <m:t>l</m:t>
        </m:r>
        <m:r>
          <m:t>o</m:t>
        </m:r>
        <m:r>
          <m:t>n</m:t>
        </m:r>
        <m:r>
          <m:t>e</m:t>
        </m:r>
        <m:r>
          <m:rPr>
            <m:sty m:val="p"/>
          </m:rPr>
          <m:t>,</m:t>
        </m:r>
        <m:r>
          <m:t>h</m:t>
        </m:r>
        <m:r>
          <m:t>a</m:t>
        </m:r>
        <m:r>
          <m:t>s</m:t>
        </m:r>
        <m:r>
          <m:t>c</m:t>
        </m:r>
        <m:r>
          <m:t>u</m:t>
        </m:r>
        <m:r>
          <m:t>t</m:t>
        </m:r>
        <m:r>
          <m:t>s</m:t>
        </m:r>
        <m:r>
          <m:t>h</m:t>
        </m:r>
        <m:r>
          <m:t>a</m:t>
        </m:r>
        <m:r>
          <m:t>r</m:t>
        </m:r>
        <m:r>
          <m:t>e</m:t>
        </m:r>
        <m:r>
          <m:t>c</m:t>
        </m:r>
        <m:r>
          <m:t>o</m:t>
        </m:r>
        <m:r>
          <m:t>u</m:t>
        </m:r>
        <m:r>
          <m:t>n</m:t>
        </m:r>
        <m:r>
          <m:t>t</m:t>
        </m:r>
        <m:r>
          <m:t> </m:t>
        </m:r>
        <m:r>
          <m:t>8</m:t>
        </m:r>
      </m:oMath>
      <w:r>
        <w:t xml:space="preserve">2.5B of FY26 buybacks (90–100% of operating cash flow returned). With the stock cheaper now, watch whether they lean in further. Book value/share was ~$82.91 (stock trades ~1.75x book).</w:t>
      </w:r>
    </w:p>
    <w:p>
      <w:pPr>
        <w:pStyle w:val="BodyText"/>
      </w:pPr>
      <w:r>
        <w:rPr>
          <w:b/>
          <w:bCs/>
        </w:rPr>
        <w:t xml:space="preserve">5. Rental / Forestar overhangs.</w:t>
      </w:r>
      <w:r>
        <w:t xml:space="preserve"> </w:t>
      </w:r>
      <w:r>
        <w:t xml:space="preserve">Two secondary items: (a) uncertainty around build-for-rent legislation (a potential 7-year sale requirement) — management says BFR communities are underwritten as for-sale and are pre-sold, limiting risk; and (b) Street chatter about</w:t>
      </w:r>
      <w:r>
        <w:t xml:space="preserve"> </w:t>
      </w:r>
      <w:r>
        <w:rPr>
          <w:b/>
          <w:bCs/>
        </w:rPr>
        <w:t xml:space="preserve">cash burn at Forestar</w:t>
      </w:r>
      <w:r>
        <w:t xml:space="preserve">, DHI's majority-owned lot developer, and implications for future lot supply/margins.</w:t>
      </w:r>
    </w:p>
    <w:p>
      <w:r>
        <w:pict>
          <v:rect style="width:0;height:1.5pt" o:hralign="center" o:hrstd="t" o:hr="t"/>
        </w:pict>
      </w:r>
    </w:p>
    <w:bookmarkEnd w:id="14"/>
    <w:bookmarkStart w:id="15" w:name="macro-backdrop--turning-less-friendly"/>
    <w:p>
      <w:pPr>
        <w:pStyle w:val="Heading2"/>
      </w:pPr>
      <w:r>
        <w:t xml:space="preserve">Macro Backdrop — Turning Less Friendly</w:t>
      </w:r>
    </w:p>
    <w:p>
      <w:pPr>
        <w:pStyle w:val="FirstParagraph"/>
      </w:pPr>
      <w:r>
        <w:t xml:space="preserve">The setup is tougher than three months ago:</w:t>
      </w:r>
    </w:p>
    <w:p>
      <w:pPr>
        <w:pStyle w:val="Compact"/>
        <w:numPr>
          <w:ilvl w:val="0"/>
          <w:numId w:val="1003"/>
        </w:numPr>
      </w:pPr>
      <w:r>
        <w:rPr>
          <w:b/>
          <w:bCs/>
        </w:rPr>
        <w:t xml:space="preserve">New-home demand remains muted</w:t>
      </w:r>
      <w:r>
        <w:t xml:space="preserve"> </w:t>
      </w:r>
      <w:r>
        <w:t xml:space="preserve">— industry new-home sales are up only ~2% YTD, pressured by affordability and consumer uncertainty; the spring selling season was described as lackluster.</w:t>
      </w:r>
    </w:p>
    <w:p>
      <w:pPr>
        <w:pStyle w:val="Compact"/>
        <w:numPr>
          <w:ilvl w:val="0"/>
          <w:numId w:val="1003"/>
        </w:numPr>
      </w:pPr>
      <w:r>
        <w:rPr>
          <w:b/>
          <w:bCs/>
        </w:rPr>
        <w:t xml:space="preserve">Rate risk has shifted hawkish.</w:t>
      </w:r>
      <w:r>
        <w:t xml:space="preserve"> </w:t>
      </w:r>
      <w:r>
        <w:t xml:space="preserve">A chorus of Fed voices (including new Chair Warsh's leadership and Cleveland's Hammack) is now openly discussing potential</w:t>
      </w:r>
      <w:r>
        <w:t xml:space="preserve"> </w:t>
      </w:r>
      <w:r>
        <w:rPr>
          <w:b/>
          <w:bCs/>
        </w:rPr>
        <w:t xml:space="preserve">rate hikes</w:t>
      </w:r>
      <w:r>
        <w:t xml:space="preserve"> </w:t>
      </w:r>
      <w:r>
        <w:t xml:space="preserve">to combat sticky inflation — the opposite of the rate relief homebuilders need to shrink incentives and lift base prices.</w:t>
      </w:r>
    </w:p>
    <w:p>
      <w:pPr>
        <w:pStyle w:val="Compact"/>
        <w:numPr>
          <w:ilvl w:val="0"/>
          <w:numId w:val="1003"/>
        </w:numPr>
      </w:pPr>
      <w:r>
        <w:rPr>
          <w:b/>
          <w:bCs/>
        </w:rPr>
        <w:t xml:space="preserve">Oil/input-cost inflation</w:t>
      </w:r>
      <w:r>
        <w:t xml:space="preserve"> </w:t>
      </w:r>
      <w:r>
        <w:t xml:space="preserve">from the Iran conflict is a fresh margin watch-item.</w:t>
      </w:r>
    </w:p>
    <w:p>
      <w:pPr>
        <w:pStyle w:val="Compact"/>
        <w:numPr>
          <w:ilvl w:val="0"/>
          <w:numId w:val="1003"/>
        </w:numPr>
      </w:pPr>
      <w:r>
        <w:rPr>
          <w:b/>
          <w:bCs/>
        </w:rPr>
        <w:t xml:space="preserve">Offsetting positive:</w:t>
      </w:r>
      <w:r>
        <w:t xml:space="preserve"> </w:t>
      </w:r>
      <w:r>
        <w:t xml:space="preserve">the bipartisan</w:t>
      </w:r>
      <w:r>
        <w:t xml:space="preserve"> </w:t>
      </w:r>
      <w:r>
        <w:rPr>
          <w:b/>
          <w:bCs/>
        </w:rPr>
        <w:t xml:space="preserve">21st Century ROAD to Housing Act</w:t>
      </w:r>
      <w:r>
        <w:t xml:space="preserve"> </w:t>
      </w:r>
      <w:r>
        <w:t xml:space="preserve">just took effect, a modest medium-term tailwind for supply-side housing policy.</w:t>
      </w:r>
    </w:p>
    <w:p>
      <w:r>
        <w:pict>
          <v:rect style="width:0;height:1.5pt" o:hralign="center" o:hrstd="t" o:hr="t"/>
        </w:pict>
      </w:r>
    </w:p>
    <w:bookmarkEnd w:id="15"/>
    <w:bookmarkStart w:id="16" w:name="stock-setup--reaction-risk"/>
    <w:p>
      <w:pPr>
        <w:pStyle w:val="Heading2"/>
      </w:pPr>
      <w:r>
        <w:t xml:space="preserve">Stock Setup &amp; Reaction Risk</w:t>
      </w:r>
    </w:p>
    <w:p>
      <w:pPr>
        <w:pStyle w:val="Compact"/>
        <w:numPr>
          <w:ilvl w:val="0"/>
          <w:numId w:val="1004"/>
        </w:numPr>
      </w:pPr>
      <w:r>
        <w:t xml:space="preserve">DHI closed</w:t>
      </w:r>
      <w:r>
        <w:t xml:space="preserve"> </w:t>
      </w:r>
      <w:r>
        <w:rPr>
          <w:b/>
          <w:bCs/>
        </w:rPr>
        <w:t xml:space="preserve">~</w:t>
      </w:r>
      <m:oMath>
        <m:r>
          <m:t>144.82</m:t>
        </m:r>
        <m:r>
          <m:t>o</m:t>
        </m:r>
        <m:r>
          <m:t>n</m:t>
        </m:r>
        <m:r>
          <m:t>7</m:t>
        </m:r>
        <m:r>
          <m:rPr>
            <m:sty m:val="p"/>
          </m:rPr>
          <m:t>/</m:t>
        </m:r>
        <m:r>
          <m:t>20</m:t>
        </m:r>
        <m:r>
          <m:rPr>
            <m:sty m:val="p"/>
          </m:rPr>
          <m:t>*</m:t>
        </m:r>
        <m:r>
          <m:rPr>
            <m:sty m:val="p"/>
          </m:rPr>
          <m:t>*</m:t>
        </m:r>
        <m:r>
          <m:rPr>
            <m:sty m:val="p"/>
          </m:rPr>
          <m:t>,</m:t>
        </m:r>
        <m:r>
          <m:t>e</m:t>
        </m:r>
        <m:r>
          <m:t>s</m:t>
        </m:r>
        <m:r>
          <m:t>s</m:t>
        </m:r>
        <m:r>
          <m:t>e</m:t>
        </m:r>
        <m:r>
          <m:t>n</m:t>
        </m:r>
        <m:r>
          <m:t>t</m:t>
        </m:r>
        <m:r>
          <m:t>i</m:t>
        </m:r>
        <m:r>
          <m:t>a</m:t>
        </m:r>
        <m:r>
          <m:t>l</m:t>
        </m:r>
        <m:r>
          <m:t>l</m:t>
        </m:r>
        <m:r>
          <m:t>y</m:t>
        </m:r>
        <m:r>
          <m:rPr>
            <m:sty m:val="p"/>
          </m:rPr>
          <m:t>*</m:t>
        </m:r>
        <m:r>
          <m:rPr>
            <m:sty m:val="p"/>
          </m:rPr>
          <m:t>*</m:t>
        </m:r>
        <m:r>
          <m:t>f</m:t>
        </m:r>
        <m:r>
          <m:t>l</m:t>
        </m:r>
        <m:r>
          <m:t>a</m:t>
        </m:r>
        <m:r>
          <m:t>t</m:t>
        </m:r>
        <m:r>
          <m:t>Y</m:t>
        </m:r>
        <m:r>
          <m:t>T</m:t>
        </m:r>
        <m:r>
          <m:t>D</m:t>
        </m:r>
        <m:r>
          <m:rPr>
            <m:sty m:val="p"/>
          </m:rPr>
          <m:t>*</m:t>
        </m:r>
        <m:r>
          <m:rPr>
            <m:sty m:val="p"/>
          </m:rPr>
          <m:t>*</m:t>
        </m:r>
        <m:r>
          <m:t>b</m:t>
        </m:r>
        <m:r>
          <m:t>u</m:t>
        </m:r>
        <m:r>
          <m:t>t</m:t>
        </m:r>
        <m:r>
          <m:rPr>
            <m:sty m:val="p"/>
          </m:rPr>
          <m:t>*</m:t>
        </m:r>
        <m:r>
          <m:rPr>
            <m:sty m:val="p"/>
          </m:rPr>
          <m:t>*</m:t>
        </m:r>
        <m:r>
          <m:t>d</m:t>
        </m:r>
        <m:r>
          <m:t>o</m:t>
        </m:r>
        <m:r>
          <m:t>w</m:t>
        </m:r>
        <m:r>
          <m:t>n</m:t>
        </m:r>
        <m:r>
          <m:t> </m:t>
        </m:r>
        <m:r>
          <m:t>13</m:t>
        </m:r>
      </m:oMath>
      <w:r>
        <w:rPr>
          <w:b/>
          <w:bCs/>
        </w:rPr>
        <w:t xml:space="preserve">166.51)</w:t>
      </w:r>
      <w:r>
        <w:t xml:space="preserve"> </w:t>
      </w:r>
      <w:r>
        <w:t xml:space="preserve">— so expectations have been walked down going into the print.</w:t>
      </w:r>
    </w:p>
    <w:p>
      <w:pPr>
        <w:pStyle w:val="Compact"/>
        <w:numPr>
          <w:ilvl w:val="0"/>
          <w:numId w:val="1004"/>
        </w:numPr>
      </w:pPr>
      <w:r>
        <w:rPr>
          <w:b/>
          <w:bCs/>
        </w:rPr>
        <w:t xml:space="preserve">Historical earnings-day reactions have skewed positive:</w:t>
      </w:r>
      <w:r>
        <w:t xml:space="preserve"> </w:t>
      </w:r>
      <w:r>
        <w:t xml:space="preserve">+17.0% after last July's report, +3.2% (Q1'26), +5.8% (Q2'26), with only Q4'25 negative (-3.2%). The huge 2025 reaction is a reminder this can be a high-beta event.</w:t>
      </w:r>
    </w:p>
    <w:p>
      <w:pPr>
        <w:pStyle w:val="Compact"/>
        <w:numPr>
          <w:ilvl w:val="0"/>
          <w:numId w:val="1004"/>
        </w:numPr>
      </w:pPr>
      <w:r>
        <w:rPr>
          <w:b/>
          <w:bCs/>
        </w:rPr>
        <w:t xml:space="preserve">Relative strength matters:</w:t>
      </w:r>
      <w:r>
        <w:t xml:space="preserve"> </w:t>
      </w:r>
      <w:r>
        <w:t xml:space="preserve">DHI has meaningfully outperformed peers — Lennar (LEN) has collapsed from ~</w:t>
      </w:r>
      <m:oMath>
        <m:r>
          <m:t>130</m:t>
        </m:r>
        <m:r>
          <m:t>t</m:t>
        </m:r>
        <m:r>
          <m:t>o</m:t>
        </m:r>
        <m:r>
          <m:t>t</m:t>
        </m:r>
        <m:r>
          <m:t>h</m:t>
        </m:r>
        <m:r>
          <m:t>e</m:t>
        </m:r>
        <m:r>
          <m:t>l</m:t>
        </m:r>
        <m:r>
          <m:t>o</m:t>
        </m:r>
        <m:r>
          <m:t>w</m:t>
        </m:r>
        <m:r>
          <m:rPr>
            <m:sty m:val="p"/>
          </m:rPr>
          <m:t>−</m:t>
        </m:r>
      </m:oMath>
      <w:r>
        <w:t xml:space="preserve">80s over the same stretch, while PulteGroup (PHM) has held up better. DHI's scale, affordability positioning, land-light model, and returns profile are why it commands a premium.</w:t>
      </w:r>
    </w:p>
    <w:p>
      <w:r>
        <w:pict>
          <v:rect style="width:0;height:1.5pt" o:hralign="center" o:hrstd="t" o:hr="t"/>
        </w:pict>
      </w:r>
    </w:p>
    <w:bookmarkEnd w:id="16"/>
    <w:bookmarkStart w:id="17" w:name="bottom-line"/>
    <w:p>
      <w:pPr>
        <w:pStyle w:val="Heading2"/>
      </w:pPr>
      <w:r>
        <w:t xml:space="preserve">Bottom Line</w:t>
      </w:r>
    </w:p>
    <w:p>
      <w:pPr>
        <w:pStyle w:val="FirstParagraph"/>
      </w:pPr>
      <w:r>
        <w:t xml:space="preserve">A "beat-and-hold" is the bull case: EPS above ~$3.00, gross margin at/above 19.7–20.2%, incentives characterized as stable, and a reaffirmed full-year framework — which, combined with a de-risked stock down 13% off its highs, could trigger another positive reaction like last year. The bear case is a</w:t>
      </w:r>
      <w:r>
        <w:t xml:space="preserve"> </w:t>
      </w:r>
      <w:r>
        <w:rPr>
          <w:b/>
          <w:bCs/>
        </w:rPr>
        <w:t xml:space="preserve">guidance cut</w:t>
      </w:r>
      <w:r>
        <w:t xml:space="preserve">: further ASP/incentive deterioration, a softer summer order number (the +11% Y/Y order comp gets harder), or margin guidance edging toward ~19% on lot-cost and oil-driven input pressure. Given the macro has tilted hawkish on rates since the last call,</w:t>
      </w:r>
      <w:r>
        <w:t xml:space="preserve"> </w:t>
      </w:r>
      <w:r>
        <w:rPr>
          <w:b/>
          <w:bCs/>
        </w:rPr>
        <w:t xml:space="preserve">the incentive commentary and the full-year guide — not the headline EPS — are the two things to read first.</w:t>
      </w:r>
    </w:p>
    <w:p>
      <w:pPr>
        <w:pStyle w:val="BodyText"/>
      </w:pPr>
      <w:r>
        <w:rPr>
          <w:i/>
          <w:iCs/>
        </w:rPr>
        <w:t xml:space="preserve">Note: Consensus figures above are drawn from third-party analyst compilations (Zacks/Yahoo) and management's own prior guidance; I was unable to independently verify every consensus data point, so treat the estimates as approximate.</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2026-07-21T00:14:14Z</dcterms:created>
  <dcterms:modified xsi:type="dcterms:W3CDTF">2026-07-21T00:14:14Z</dcterms:modified>
</cp:coreProperties>
</file>

<file path=docProps/custom.xml><?xml version="1.0" encoding="utf-8"?>
<Properties xmlns="http://schemas.openxmlformats.org/officeDocument/2006/custom-properties" xmlns:vt="http://schemas.openxmlformats.org/officeDocument/2006/docPropsVTypes"/>
</file>