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FirstParagraph"/>
      </w:pPr>
      <w:r>
        <w:t xml:space="preserve">Now I have enough material. Let me write the earnings preview.# D.R. Horton (DHI) — Fiscal Q3 2026 Earnings Preview</w:t>
      </w:r>
      <w:r>
        <w:t xml:space="preserve"> </w:t>
      </w:r>
      <w:r>
        <w:rPr>
          <w:b/>
          <w:bCs/>
        </w:rPr>
        <w:t xml:space="preserve">Report date:</w:t>
      </w:r>
      <w:r>
        <w:t xml:space="preserve"> </w:t>
      </w:r>
      <w:r>
        <w:t xml:space="preserve">July 20, 2026 |</w:t>
      </w:r>
      <w:r>
        <w:t xml:space="preserve"> </w:t>
      </w:r>
      <w:r>
        <w:rPr>
          <w:b/>
          <w:bCs/>
        </w:rPr>
        <w:t xml:space="preserve">Earnings date:</w:t>
      </w:r>
      <w:r>
        <w:t xml:space="preserve"> </w:t>
      </w:r>
      <w:r>
        <w:t xml:space="preserve">Tuesday, July 21, 2026, before market open (call at 8:30 a.m. ET)</w:t>
      </w:r>
    </w:p>
    <w:bookmarkStart w:id="9" w:name="setup-into-the-print"/>
    <w:p>
      <w:pPr>
        <w:pStyle w:val="Heading2"/>
      </w:pPr>
      <w:r>
        <w:t xml:space="preserve">Setup Into the Print</w:t>
      </w:r>
    </w:p>
    <w:p>
      <w:pPr>
        <w:pStyle w:val="FirstParagraph"/>
      </w:pPr>
      <w:r>
        <w:t xml:space="preserve">D.R. Horton — America's largest homebuilder by volume — reports fiscal third-quarter results tomorrow morning. The stock has pulled back roughly 11% since its Q2 print in late April (from ~</w:t>
      </w:r>
      <m:oMath>
        <m:r>
          <m:t>162</m:t>
        </m:r>
        <m:r>
          <m:t>t</m:t>
        </m:r>
        <m:r>
          <m:t>o</m:t>
        </m:r>
        <m:r>
          <m:t> </m:t>
        </m:r>
      </m:oMath>
      <w:r>
        <w:t xml:space="preserve">145) and fell further into the print, dropping from $149.39 on July 17 to $144.82 on July 20, as macro cross-currents (rising mortgage rates, oil-driven inflation fears) have weighed on homebuilder sentiment broadly. Consensus is calling for</w:t>
      </w:r>
      <w:r>
        <w:t xml:space="preserve"> </w:t>
      </w:r>
      <w:r>
        <w:rPr>
          <w:b/>
          <w:bCs/>
        </w:rPr>
        <w:t xml:space="preserve">EPS of roughly $3.00</w:t>
      </w:r>
      <w:r>
        <w:t xml:space="preserve">, which would be down 10.7% from $3.36 in the year-ago quarter. For the full fiscal year, analysts project EPS of $10.61, down 8.3% from $11.57 in fiscal 2025, with a rebound to $11.96 (+12.7%) expected in fiscal 2027. Sell-side sentiment is lukewarm: DHI carries an average "Hold" rating from seventeen firms, with two sells, ten holds and five buys, and an average 12-month price target near $168.50.</w:t>
      </w:r>
    </w:p>
    <w:bookmarkEnd w:id="9"/>
    <w:bookmarkStart w:id="10" w:name="companys-own-guidance-to-beatmeet"/>
    <w:p>
      <w:pPr>
        <w:pStyle w:val="Heading2"/>
      </w:pPr>
      <w:r>
        <w:t xml:space="preserve">Company's Own Guidance to Beat/Meet</w:t>
      </w:r>
    </w:p>
    <w:p>
      <w:pPr>
        <w:pStyle w:val="FirstParagraph"/>
      </w:pPr>
      <w:r>
        <w:t xml:space="preserve">Management's Q2 call laid out specific Q3 targets that will be the scorecard tomorrow:</w:t>
      </w:r>
    </w:p>
    <w:p>
      <w:pPr>
        <w:pStyle w:val="Compact"/>
        <w:numPr>
          <w:ilvl w:val="0"/>
          <w:numId w:val="1001"/>
        </w:numPr>
      </w:pPr>
      <w:r>
        <w:t xml:space="preserve">Consolidated revenues in the range of $8.8 billion to $9.3 billion, with homes closed by homebuilding operations of 23,500 to 24,000</w:t>
      </w:r>
    </w:p>
    <w:p>
      <w:pPr>
        <w:pStyle w:val="Compact"/>
        <w:numPr>
          <w:ilvl w:val="0"/>
          <w:numId w:val="1001"/>
        </w:numPr>
      </w:pPr>
      <w:r>
        <w:t xml:space="preserve">Home sales gross margin in the range of 19.7% to 20.2%, and consolidated pre-tax margin between 12.2% and 12.7%</w:t>
      </w:r>
    </w:p>
    <w:p>
      <w:pPr>
        <w:pStyle w:val="Compact"/>
        <w:numPr>
          <w:ilvl w:val="0"/>
          <w:numId w:val="1001"/>
        </w:numPr>
      </w:pPr>
      <w:r>
        <w:t xml:space="preserve">For the full year: consolidated revenues of approximately $33.5 billion to $34.5 billion and 86,000–87,500 homes closed, a 24.5% tax rate, operating cash flow of at least</w:t>
      </w:r>
      <w:r>
        <w:t xml:space="preserve"> </w:t>
      </w:r>
      <m:oMath>
        <m:r>
          <m:t>3.0</m:t>
        </m:r>
        <m:r>
          <m:t>b</m:t>
        </m:r>
        <m:r>
          <m:t>i</m:t>
        </m:r>
        <m:r>
          <m:t>l</m:t>
        </m:r>
        <m:r>
          <m:t>l</m:t>
        </m:r>
        <m:r>
          <m:t>i</m:t>
        </m:r>
        <m:r>
          <m:t>o</m:t>
        </m:r>
        <m:r>
          <m:t>n</m:t>
        </m:r>
        <m:r>
          <m:rPr>
            <m:sty m:val="p"/>
          </m:rPr>
          <m:t>,</m:t>
        </m:r>
        <m:r>
          <m:t> </m:t>
        </m:r>
      </m:oMath>
      <w:r>
        <w:t xml:space="preserve">2.5 billion of buybacks and ~$500 million of dividends</w:t>
      </w:r>
    </w:p>
    <w:p>
      <w:pPr>
        <w:pStyle w:val="FirstParagraph"/>
      </w:pPr>
      <w:r>
        <w:t xml:space="preserve">Notably, management flagged in April that they had</w:t>
      </w:r>
      <w:r>
        <w:t xml:space="preserve"> </w:t>
      </w:r>
      <w:r>
        <w:rPr>
          <w:b/>
          <w:bCs/>
        </w:rPr>
        <w:t xml:space="preserve">already trimmed the top end of full-year guidance</w:t>
      </w:r>
      <w:r>
        <w:t xml:space="preserve"> </w:t>
      </w:r>
      <w:r>
        <w:t xml:space="preserve">after light closings in Q1/Q2 — "We were light on our closing guide in both Q1 and Q2. We didn't achieve what we said we were going to do. We're still very well positioned to deliver in the heart of our original guide". That makes the Q3 closings number (23,500–24,000) an important credibility check.</w:t>
      </w:r>
    </w:p>
    <w:bookmarkEnd w:id="10"/>
    <w:bookmarkStart w:id="11" w:name="key-themes-to-watch"/>
    <w:p>
      <w:pPr>
        <w:pStyle w:val="Heading2"/>
      </w:pPr>
      <w:r>
        <w:t xml:space="preserve">Key Themes to Watch</w:t>
      </w:r>
    </w:p>
    <w:p>
      <w:pPr>
        <w:pStyle w:val="FirstParagraph"/>
      </w:pPr>
      <w:r>
        <w:rPr>
          <w:b/>
          <w:bCs/>
        </w:rPr>
        <w:t xml:space="preserve">1. Margin trajectory — can cost savings keep offsetting incentives?</w:t>
      </w:r>
      <w:r>
        <w:t xml:space="preserve"> </w:t>
      </w:r>
      <w:r>
        <w:t xml:space="preserve">Q2 gross margin (20.1% reported, 19.7% normalized) came in above guidance on the back of construction-cost deflation. Management explained the drivers: "We've seen some reduction in stick and brick come through... less reduction of the increase of lot price... So those somewhat offsetting. And then we saw a fairly strong quarter from a demand perspective". For Q3, CFO Bill Wheat reiterated: lot costs are expected to remain "incrementally... a bit higher" while stick-and-brick savings should continue to offset that headwind — but this balance is delicate, and</w:t>
      </w:r>
      <w:r>
        <w:t xml:space="preserve"> </w:t>
      </w:r>
      <w:r>
        <w:rPr>
          <w:b/>
          <w:bCs/>
        </w:rPr>
        <w:t xml:space="preserve">incentive levels remain the swing factor</w:t>
      </w:r>
      <w:r>
        <w:t xml:space="preserve">, dependent on demand and mortgage rates.</w:t>
      </w:r>
    </w:p>
    <w:p>
      <w:pPr>
        <w:pStyle w:val="BodyText"/>
      </w:pPr>
      <w:r>
        <w:rPr>
          <w:b/>
          <w:bCs/>
        </w:rPr>
        <w:t xml:space="preserve">2. Incentives — still elevated, no sign of near-term relief</w:t>
      </w:r>
      <w:r>
        <w:t xml:space="preserve"> </w:t>
      </w:r>
      <w:r>
        <w:t xml:space="preserve">Executives were candid that incentives (~10% of revenue) will likely stay elevated: "we're going to need to see rates moderate some before we see that break up, and/or an increase in consumer confidence and more buyers in the market that allow for a reduction in incentive". Given that mortgage rates have actually</w:t>
      </w:r>
      <w:r>
        <w:t xml:space="preserve"> </w:t>
      </w:r>
      <w:r>
        <w:rPr>
          <w:b/>
          <w:bCs/>
        </w:rPr>
        <w:t xml:space="preserve">risen</w:t>
      </w:r>
      <w:r>
        <w:t xml:space="preserve"> </w:t>
      </w:r>
      <w:r>
        <w:t xml:space="preserve">since the Q2 call — Freddie Mac's 30-year fixed averaged 6.55% as of July 16 (up from 6.49% the prior week and the highest since August 2025), driven by Middle East-related oil price pressure and inflation concerns — incentive relief looks unlikely, and there's modest risk incentives crept higher intra-quarter versus the "stable" assumption embedded in guidance.</w:t>
      </w:r>
    </w:p>
    <w:p>
      <w:pPr>
        <w:pStyle w:val="BodyText"/>
      </w:pPr>
      <w:r>
        <w:rPr>
          <w:b/>
          <w:bCs/>
        </w:rPr>
        <w:t xml:space="preserve">3. Order growth and community count — is demand holding up?</w:t>
      </w:r>
      <w:r>
        <w:t xml:space="preserve"> </w:t>
      </w:r>
      <w:r>
        <w:t xml:space="preserve">Q2 net sales orders rose 11% y/y to 24,992 homes, and management stressed order growth kept pace with community count growth (also +11% y/y), meaning</w:t>
      </w:r>
      <w:r>
        <w:t xml:space="preserve"> </w:t>
      </w:r>
      <w:r>
        <w:rPr>
          <w:b/>
          <w:bCs/>
        </w:rPr>
        <w:t xml:space="preserve">no absorption decline</w:t>
      </w:r>
      <w:r>
        <w:t xml:space="preserve"> </w:t>
      </w:r>
      <w:r>
        <w:t xml:space="preserve">— a positive underlying signal despite the tough backdrop. Watch for: order growth cadence into the June quarter, cancellation rate trends (16% in Q2, stable), and any commentary on how the July rise in mortgage rates and elevated existing-home prices ($440,600 median, an all-time high per NAR) affected the tail end of the spring selling season.</w:t>
      </w:r>
    </w:p>
    <w:p>
      <w:pPr>
        <w:pStyle w:val="BodyText"/>
      </w:pPr>
      <w:r>
        <w:rPr>
          <w:b/>
          <w:bCs/>
        </w:rPr>
        <w:t xml:space="preserve">4. Inventory discipline and cycle times</w:t>
      </w:r>
      <w:r>
        <w:t xml:space="preserve"> </w:t>
      </w:r>
      <w:r>
        <w:t xml:space="preserve">DHI has been aggressively working down completed, unsold spec inventory — down 35% y/y as of Q2 — while improving cycle times by about a month y/y. This capital discipline supports returns (17.6% trailing-12-month homebuilding ROI, 13.2% consolidated ROE) and reduces the risk of margin-destructive aged spec inventory. Investors should check whether this trend continued into Q3, especially since management guided to</w:t>
      </w:r>
      <w:r>
        <w:t xml:space="preserve"> </w:t>
      </w:r>
      <w:r>
        <w:rPr>
          <w:b/>
          <w:bCs/>
        </w:rPr>
        <w:t xml:space="preserve">lower starts sequentially</w:t>
      </w:r>
      <w:r>
        <w:t xml:space="preserve"> </w:t>
      </w:r>
      <w:r>
        <w:t xml:space="preserve">in Q3.</w:t>
      </w:r>
    </w:p>
    <w:p>
      <w:pPr>
        <w:pStyle w:val="BodyText"/>
      </w:pPr>
      <w:r>
        <w:rPr>
          <w:b/>
          <w:bCs/>
        </w:rPr>
        <w:t xml:space="preserve">5. Capital returns / balance sheet</w:t>
      </w:r>
      <w:r>
        <w:t xml:space="preserve"> </w:t>
      </w:r>
      <w:r>
        <w:t xml:space="preserve">DHI remains a capital-return story: $3.7 billion of trailing-12-month operating cash flow and</w:t>
      </w:r>
      <w:r>
        <w:t xml:space="preserve"> </w:t>
      </w:r>
      <m:oMath>
        <m:r>
          <m:t>4</m:t>
        </m:r>
        <m:r>
          <m:t>b</m:t>
        </m:r>
        <m:r>
          <m:t>i</m:t>
        </m:r>
        <m:r>
          <m:t>l</m:t>
        </m:r>
        <m:r>
          <m:t>l</m:t>
        </m:r>
        <m:r>
          <m:t>i</m:t>
        </m:r>
        <m:r>
          <m:t>o</m:t>
        </m:r>
        <m:r>
          <m:t>n</m:t>
        </m:r>
        <m:r>
          <m:t>r</m:t>
        </m:r>
        <m:r>
          <m:t>e</m:t>
        </m:r>
        <m:r>
          <m:t>t</m:t>
        </m:r>
        <m:r>
          <m:t>u</m:t>
        </m:r>
        <m:r>
          <m:t>r</m:t>
        </m:r>
        <m:r>
          <m:t>n</m:t>
        </m:r>
        <m:r>
          <m:t>e</m:t>
        </m:r>
        <m:r>
          <m:t>d</m:t>
        </m:r>
        <m:r>
          <m:t>t</m:t>
        </m:r>
        <m:r>
          <m:t>o</m:t>
        </m:r>
        <m:r>
          <m:t>s</m:t>
        </m:r>
        <m:r>
          <m:t>h</m:t>
        </m:r>
        <m:r>
          <m:t>a</m:t>
        </m:r>
        <m:r>
          <m:t>r</m:t>
        </m:r>
        <m:r>
          <m:t>e</m:t>
        </m:r>
        <m:r>
          <m:t>h</m:t>
        </m:r>
        <m:r>
          <m:t>o</m:t>
        </m:r>
        <m:r>
          <m:t>l</m:t>
        </m:r>
        <m:r>
          <m:t>d</m:t>
        </m:r>
        <m:r>
          <m:t>e</m:t>
        </m:r>
        <m:r>
          <m:t>r</m:t>
        </m:r>
        <m:r>
          <m:t>s</m:t>
        </m:r>
        <m:r>
          <m:t>v</m:t>
        </m:r>
        <m:r>
          <m:t>i</m:t>
        </m:r>
        <m:r>
          <m:t>a</m:t>
        </m:r>
        <m:r>
          <m:t>b</m:t>
        </m:r>
        <m:r>
          <m:t>u</m:t>
        </m:r>
        <m:r>
          <m:t>y</m:t>
        </m:r>
        <m:r>
          <m:t>b</m:t>
        </m:r>
        <m:r>
          <m:t>a</m:t>
        </m:r>
        <m:r>
          <m:t>c</m:t>
        </m:r>
        <m:r>
          <m:t>k</m:t>
        </m:r>
        <m:r>
          <m:t>s</m:t>
        </m:r>
        <m:r>
          <m:t>a</m:t>
        </m:r>
        <m:r>
          <m:t>n</m:t>
        </m:r>
        <m:r>
          <m:t>d</m:t>
        </m:r>
        <m:r>
          <m:t>d</m:t>
        </m:r>
        <m:r>
          <m:t>i</m:t>
        </m:r>
        <m:r>
          <m:t>v</m:t>
        </m:r>
        <m:r>
          <m:t>i</m:t>
        </m:r>
        <m:r>
          <m:t>d</m:t>
        </m:r>
        <m:r>
          <m:t>e</m:t>
        </m:r>
        <m:r>
          <m:t>n</m:t>
        </m:r>
        <m:r>
          <m:t>d</m:t>
        </m:r>
        <m:r>
          <m:t>s</m:t>
        </m:r>
        <m:r>
          <m:t>a</m:t>
        </m:r>
        <m:r>
          <m:t>s</m:t>
        </m:r>
        <m:r>
          <m:t>o</m:t>
        </m:r>
        <m:r>
          <m:t>f</m:t>
        </m:r>
        <m:r>
          <m:t>Q</m:t>
        </m:r>
        <m:r>
          <m:t>2</m:t>
        </m:r>
        <m:r>
          <m:rPr>
            <m:sty m:val="p"/>
          </m:rPr>
          <m:t>,</m:t>
        </m:r>
        <m:r>
          <m:t>w</m:t>
        </m:r>
        <m:r>
          <m:t>i</m:t>
        </m:r>
        <m:r>
          <m:t>t</m:t>
        </m:r>
        <m:r>
          <m:t>h</m:t>
        </m:r>
        <m:r>
          <m:t>l</m:t>
        </m:r>
        <m:r>
          <m:t>e</m:t>
        </m:r>
        <m:r>
          <m:t>v</m:t>
        </m:r>
        <m:r>
          <m:t>e</m:t>
        </m:r>
        <m:r>
          <m:t>r</m:t>
        </m:r>
        <m:r>
          <m:t>a</m:t>
        </m:r>
        <m:r>
          <m:t>g</m:t>
        </m:r>
        <m:r>
          <m:t>e</m:t>
        </m:r>
        <m:r>
          <m:t>a</m:t>
        </m:r>
        <m:r>
          <m:t>r</m:t>
        </m:r>
        <m:r>
          <m:t>o</m:t>
        </m:r>
        <m:r>
          <m:t>u</m:t>
        </m:r>
        <m:r>
          <m:t>n</m:t>
        </m:r>
        <m:r>
          <m:t>d</m:t>
        </m:r>
        <m:r>
          <m:t>21.7</m:t>
        </m:r>
      </m:oMath>
      <w:r>
        <w:t xml:space="preserve">2.5 billion of full-year repurchases. Confirmation of pace here, plus any change to the dividend, will matter for the "return of capital" bull case even as earnings decline.</w:t>
      </w:r>
    </w:p>
    <w:p>
      <w:pPr>
        <w:pStyle w:val="BodyText"/>
      </w:pPr>
      <w:r>
        <w:rPr>
          <w:b/>
          <w:bCs/>
        </w:rPr>
        <w:t xml:space="preserve">6. Rental segment / Forestar — watch for commentary on BFR legislation and land spend</w:t>
      </w:r>
      <w:r>
        <w:t xml:space="preserve"> </w:t>
      </w:r>
      <w:r>
        <w:t xml:space="preserve">Some recent commentary has flagged</w:t>
      </w:r>
      <w:r>
        <w:t xml:space="preserve"> </w:t>
      </w:r>
      <w:r>
        <w:rPr>
          <w:b/>
          <w:bCs/>
        </w:rPr>
        <w:t xml:space="preserve">cash burn concerns at Forestar</w:t>
      </w:r>
      <w:r>
        <w:t xml:space="preserve"> </w:t>
      </w:r>
      <w:r>
        <w:t xml:space="preserve">(DHI's majority-owned lot developer) as a watch item for future lot supply and margins. On the April call, management downplayed exposure to potential build-for-rent regulatory changes, noting "we have underwritten our build-for-rent communities as for sale... We also have focused the majority of our forward business on forward sales". Any update on the outstanding federal BFR-related legislation, and Forestar's lot position/cash flow, is worth monitoring.</w:t>
      </w:r>
    </w:p>
    <w:p>
      <w:pPr>
        <w:pStyle w:val="BodyText"/>
      </w:pPr>
      <w:r>
        <w:rPr>
          <w:b/>
          <w:bCs/>
        </w:rPr>
        <w:t xml:space="preserve">7. Policy tailwind — 21st Century ROAD to Housing Act</w:t>
      </w:r>
      <w:r>
        <w:t xml:space="preserve"> </w:t>
      </w:r>
      <w:r>
        <w:t xml:space="preserve">Shares popped nearly 7% on June 24 after Congress passed the bipartisan</w:t>
      </w:r>
      <w:r>
        <w:t xml:space="preserve"> </w:t>
      </w:r>
      <w:r>
        <w:rPr>
          <w:b/>
          <w:bCs/>
        </w:rPr>
        <w:t xml:space="preserve">21st Century ROAD to Housing Act</w:t>
      </w:r>
      <w:r>
        <w:t xml:space="preserve">, aimed at expanding U.S. housing supply by easing regulatory constraints and modernizing development rules nationwide, which could be a multi-year tailwind for large builders with scale like DHI, given its focus on affordable, first-time-buyer product (65% of mortgage company closings in Q2 were first-time buyers). Expect analysts to ask management to quantify potential benefits, though realistically this is a longer-horizon (FY27+) story rather than a Q3 catalyst.</w:t>
      </w:r>
    </w:p>
    <w:bookmarkEnd w:id="11"/>
    <w:bookmarkStart w:id="12" w:name="macro-backdrop-into-the-quarter"/>
    <w:p>
      <w:pPr>
        <w:pStyle w:val="Heading2"/>
      </w:pPr>
      <w:r>
        <w:t xml:space="preserve">Macro Backdrop Into the Quarter</w:t>
      </w:r>
    </w:p>
    <w:p>
      <w:pPr>
        <w:pStyle w:val="FirstParagraph"/>
      </w:pPr>
      <w:r>
        <w:t xml:space="preserve">The rate environment has gotten modestly worse, not better, since the last call:</w:t>
      </w:r>
    </w:p>
    <w:p>
      <w:pPr>
        <w:pStyle w:val="Compact"/>
        <w:numPr>
          <w:ilvl w:val="0"/>
          <w:numId w:val="1002"/>
        </w:numPr>
      </w:pPr>
      <w:r>
        <w:t xml:space="preserve">30-year fixed mortgage rates have climbed to</w:t>
      </w:r>
      <w:r>
        <w:t xml:space="preserve"> </w:t>
      </w:r>
      <w:r>
        <w:rPr>
          <w:b/>
          <w:bCs/>
        </w:rPr>
        <w:t xml:space="preserve">6.55%–6.75%</w:t>
      </w:r>
      <w:r>
        <w:t xml:space="preserve"> </w:t>
      </w:r>
      <w:r>
        <w:t xml:space="preserve">in mid-July 2026, the</w:t>
      </w:r>
      <w:r>
        <w:t xml:space="preserve"> </w:t>
      </w:r>
      <w:r>
        <w:rPr>
          <w:b/>
          <w:bCs/>
        </w:rPr>
        <w:t xml:space="preserve">highest level in nearly a year</w:t>
      </w:r>
      <w:r>
        <w:t xml:space="preserve">, pressured by Iran-conflict-driven oil prices and sticky inflation expectations, even as June CPI showed some cooling.</w:t>
      </w:r>
    </w:p>
    <w:p>
      <w:pPr>
        <w:pStyle w:val="Compact"/>
        <w:numPr>
          <w:ilvl w:val="0"/>
          <w:numId w:val="1002"/>
        </w:numPr>
      </w:pPr>
      <w:r>
        <w:t xml:space="preserve">Pending home sales fell over 5% in June per NAR, and purchase mortgage applications have declined for multiple consecutive weeks — a sign the spring selling season may be losing some momentum into early summer, which is a mild incremental negative relative to the "stable, in-line-with-seasonality" demand DHI described through mid-April.</w:t>
      </w:r>
    </w:p>
    <w:p>
      <w:pPr>
        <w:pStyle w:val="Compact"/>
        <w:numPr>
          <w:ilvl w:val="0"/>
          <w:numId w:val="1002"/>
        </w:numPr>
      </w:pPr>
      <w:r>
        <w:t xml:space="preserve">Existing home inventory continues to rise and the median existing-home price hit an all-time high ($440,600), which — per DHI's own framing — actually supports its relative affordability positioning (its homes run roughly $70,000 below median existing-home prices).</w:t>
      </w:r>
    </w:p>
    <w:bookmarkEnd w:id="12"/>
    <w:bookmarkStart w:id="13" w:name="bottom-line-for-investors"/>
    <w:p>
      <w:pPr>
        <w:pStyle w:val="Heading2"/>
      </w:pPr>
      <w:r>
        <w:t xml:space="preserve">Bottom Line for Investors</w:t>
      </w:r>
    </w:p>
    <w:p>
      <w:pPr>
        <w:pStyle w:val="FirstParagraph"/>
      </w:pPr>
      <w:r>
        <w:t xml:space="preserve">Going into this print, the debate is less about a single quarter's beat/miss and more about</w:t>
      </w:r>
      <w:r>
        <w:t xml:space="preserve"> </w:t>
      </w:r>
      <w:r>
        <w:rPr>
          <w:b/>
          <w:bCs/>
        </w:rPr>
        <w:t xml:space="preserve">margin durability</w:t>
      </w:r>
      <w:r>
        <w:t xml:space="preserve"> </w:t>
      </w:r>
      <w:r>
        <w:t xml:space="preserve">in a rate environment that has drifted higher rather than lower since guidance was set, against a company that has consistently proven it can defend returns through disciplined starts, inventory management, and lot-cost negotiation. Key scorecard items tomorrow:</w:t>
      </w:r>
    </w:p>
    <w:p>
      <w:pPr>
        <w:pStyle w:val="Compact"/>
        <w:numPr>
          <w:ilvl w:val="0"/>
          <w:numId w:val="1003"/>
        </w:numPr>
      </w:pPr>
      <w:r>
        <w:t xml:space="preserve">Did closings and revenue land within the $8.8–9.3B / 23,500–24,000 home guidance range?</w:t>
      </w:r>
    </w:p>
    <w:p>
      <w:pPr>
        <w:pStyle w:val="Compact"/>
        <w:numPr>
          <w:ilvl w:val="0"/>
          <w:numId w:val="1003"/>
        </w:numPr>
      </w:pPr>
      <w:r>
        <w:t xml:space="preserve">Did gross margin hold near 19.7–20.2%, or did incentives creep higher against the July rate backdrop?</w:t>
      </w:r>
    </w:p>
    <w:p>
      <w:pPr>
        <w:pStyle w:val="Compact"/>
        <w:numPr>
          <w:ilvl w:val="0"/>
          <w:numId w:val="1003"/>
        </w:numPr>
      </w:pPr>
      <w:r>
        <w:t xml:space="preserve">What is the tone on order trends through June and early July, and any early read on the September quarter?</w:t>
      </w:r>
    </w:p>
    <w:p>
      <w:pPr>
        <w:pStyle w:val="Compact"/>
        <w:numPr>
          <w:ilvl w:val="0"/>
          <w:numId w:val="1003"/>
        </w:numPr>
      </w:pPr>
      <w:r>
        <w:t xml:space="preserve">Any change to full-year FY26 guidance (revenue, closings, buybacks) and initial framing for FY27?</w:t>
      </w:r>
    </w:p>
    <w:p>
      <w:pPr>
        <w:pStyle w:val="Compact"/>
        <w:numPr>
          <w:ilvl w:val="0"/>
          <w:numId w:val="1003"/>
        </w:numPr>
      </w:pPr>
      <w:r>
        <w:t xml:space="preserve">Updated commentary on Forestar cash flow/lot position and BFR-related rental exposure.</w:t>
      </w:r>
    </w:p>
    <w:p>
      <w:pPr>
        <w:pStyle w:val="FirstParagraph"/>
      </w:pPr>
      <w:r>
        <w:t xml:space="preserve">Given depressed sentiment (Hold consensus, stock down double digits from its post-Q2 high) and estimates that have already been trimmed, the bar for a "relief rally" may be lower than for last quarter — but with mortgage rates now higher than when guidance was issued, the risk sits more on the incentive/margin line than on the top line.</w:t>
      </w:r>
    </w:p>
    <w:bookmarkEnd w:id="13"/>
    <w:sectPr>
      <w:footnotePr>
        <w:numRestart w:val="eachSect"/>
      </w:footnotePr>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991">
    <w:nsid w:val="0000A991"/>
    <w:multiLevelType w:val="multilevel"/>
    <w:lvl w:ilvl="0">
      <w:numFmt w:val="bullet"/>
      <w:lvlText w:val=""/>
      <w:lvlJc w:val="left"/>
      <w:pPr>
        <w:ind w:left="720" w:hanging="360"/>
      </w:pPr>
      <w:rPr>
        <w:rFonts w:ascii="Symbol" w:hAnsi="Symbol" w:cs="Symbol" w:hint="default"/>
      </w:rPr>
    </w:lvl>
    <w:lvl w:ilvl="1">
      <w:numFmt w:val="bullet"/>
      <w:lvlText w:val="o"/>
      <w:lvlJc w:val="left"/>
      <w:pPr>
        <w:ind w:left="1440" w:hanging="360"/>
      </w:pPr>
      <w:rPr>
        <w:rFonts w:ascii="Courier New" w:hAnsi="Courier New" w:cs="Courier New" w:hint="default"/>
      </w:rPr>
    </w:lvl>
    <w:lvl w:ilvl="2">
      <w:numFmt w:val="bullet"/>
      <w:lvlText w:val=""/>
      <w:lvlJc w:val="left"/>
      <w:pPr>
        <w:ind w:left="2160" w:hanging="360"/>
      </w:pPr>
      <w:rPr>
        <w:rFonts w:ascii="Wingdings" w:hAnsi="Wingdings" w:cs="Wingdings" w:hint="default"/>
      </w:rPr>
    </w:lvl>
    <w:lvl w:ilvl="3">
      <w:numFmt w:val="bullet"/>
      <w:lvlText w:val=""/>
      <w:lvlJc w:val="left"/>
      <w:pPr>
        <w:ind w:left="2880" w:hanging="360"/>
      </w:pPr>
      <w:rPr>
        <w:rFonts w:ascii="Symbol" w:hAnsi="Symbol" w:cs="Symbol" w:hint="default"/>
      </w:rPr>
    </w:lvl>
    <w:lvl w:ilvl="4">
      <w:numFmt w:val="bullet"/>
      <w:lvlText w:val="o"/>
      <w:lvlJc w:val="left"/>
      <w:pPr>
        <w:ind w:left="3600" w:hanging="360"/>
      </w:pPr>
      <w:rPr>
        <w:rFonts w:ascii="Courier New" w:hAnsi="Courier New" w:cs="Courier New" w:hint="default"/>
      </w:rPr>
    </w:lvl>
    <w:lvl w:ilvl="5">
      <w:numFmt w:val="bullet"/>
      <w:lvlText w:val=""/>
      <w:lvlJc w:val="left"/>
      <w:pPr>
        <w:ind w:left="4320" w:hanging="360"/>
      </w:pPr>
      <w:rPr>
        <w:rFonts w:ascii="Wingdings" w:hAnsi="Wingdings" w:cs="Wingdings" w:hint="default"/>
      </w:rPr>
    </w:lvl>
    <w:lvl w:ilvl="6">
      <w:numFmt w:val="bullet"/>
      <w:lvlText w:val=""/>
      <w:lvlJc w:val="left"/>
      <w:pPr>
        <w:ind w:left="5040" w:hanging="360"/>
      </w:pPr>
      <w:rPr>
        <w:rFonts w:ascii="Symbol" w:hAnsi="Symbol" w:cs="Symbol" w:hint="default"/>
      </w:rPr>
    </w:lvl>
    <w:lvl w:ilvl="7">
      <w:numFmt w:val="bullet"/>
      <w:lvlText w:val="o"/>
      <w:lvlJc w:val="left"/>
      <w:pPr>
        <w:ind w:left="5760" w:hanging="360"/>
      </w:pPr>
      <w:rPr>
        <w:rFonts w:ascii="Courier New" w:hAnsi="Courier New" w:cs="Courier New" w:hint="default"/>
      </w:rPr>
    </w:lvl>
    <w:lvl w:ilvl="8">
      <w:numFmt w:val="bullet"/>
      <w:lvlText w:val=""/>
      <w:lvlJc w:val="left"/>
      <w:pPr>
        <w:ind w:left="6480" w:hanging="360"/>
      </w:pPr>
      <w:rPr>
        <w:rFonts w:ascii="Wingdings" w:hAnsi="Wingdings" w:cs="Wingdings" w:hint="default"/>
      </w:rPr>
    </w:lvl>
  </w:abstractNum>
  <w:abstractNum w:abstractNumId="99411">
    <w:nsid w:val="00A99411"/>
    <w:multiLevelType w:val="multilevel"/>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num w:numId="1000">
    <w:abstractNumId w:val="990"/>
  </w:num>
  <w:num w:numId="1001">
    <w:abstractNumId w:val="991"/>
  </w:num>
  <w:num w:numId="1002">
    <w:abstractNumId w:val="991"/>
  </w:num>
  <w:num w:numId="1003">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EastAsia" w:hAnsiTheme="minorHAnsi"/>
        <w:sz w:val="24"/>
        <w:szCs w:val="24"/>
        <w:lang w:bidi="ar-SA" w:eastAsia="zh-CN"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link w:val="TitleChar"/>
    <w:uiPriority w:val="10"/>
    <w:qFormat/>
    <w:rsid w:val="00A10FD9"/>
    <w:pPr>
      <w:spacing w:after="80" w:line="240" w:lineRule="auto"/>
      <w:contextualSpacing/>
      <w:jc w:val="center"/>
    </w:pPr>
    <w:rPr>
      <w:rFonts w:asciiTheme="majorHAnsi" w:cstheme="majorBidi" w:eastAsiaTheme="majorEastAsia" w:hAnsiTheme="majorHAnsi"/>
      <w:sz w:val="56"/>
      <w:szCs w:val="56"/>
    </w:rPr>
  </w:style>
  <w:style w:customStyle="1" w:styleId="TitleChar" w:type="character">
    <w:name w:val="Title Char"/>
    <w:basedOn w:val="DefaultParagraphFont"/>
    <w:link w:val="Title"/>
    <w:uiPriority w:val="10"/>
    <w:rsid w:val="00A10FD9"/>
    <w:rPr>
      <w:rFonts w:asciiTheme="majorHAnsi" w:cstheme="majorBidi" w:eastAsiaTheme="majorEastAsia" w:hAnsiTheme="majorHAnsi"/>
      <w:sz w:val="56"/>
      <w:szCs w:val="56"/>
    </w:rPr>
  </w:style>
  <w:style w:styleId="Subtitle" w:type="paragraph">
    <w:name w:val="Subtitle"/>
    <w:basedOn w:val="Title"/>
    <w:next w:val="BodyText"/>
    <w:link w:val="SubtitleChar"/>
    <w:uiPriority w:val="11"/>
    <w:qFormat/>
    <w:rsid w:val="00A10FD9"/>
    <w:pPr>
      <w:numPr>
        <w:ilvl w:val="1"/>
      </w:numPr>
    </w:pPr>
    <w:rPr>
      <w:rFonts w:cstheme="majorBidi" w:eastAsiaTheme="majorEastAsia"/>
      <w:spacing w:val="15"/>
      <w:sz w:val="28"/>
      <w:szCs w:val="28"/>
    </w:rPr>
  </w:style>
  <w:style w:customStyle="1" w:styleId="SubtitleChar" w:type="character">
    <w:name w:val="Subtitle Char"/>
    <w:basedOn w:val="DefaultParagraphFont"/>
    <w:link w:val="Subtitle"/>
    <w:uiPriority w:val="11"/>
    <w:rsid w:val="00A10FD9"/>
    <w:rPr>
      <w:rFonts w:cstheme="majorBidi" w:eastAsiaTheme="majorEastAsia"/>
      <w:color w:themeColor="text1" w:themeTint="A6" w:val="595959"/>
      <w:spacing w:val="15"/>
      <w:sz w:val="28"/>
      <w:szCs w:val="28"/>
    </w:rPr>
  </w:style>
  <w:style w:customStyle="1" w:styleId="Author" w:type="paragraph">
    <w:name w:val="Author"/>
    <w:basedOn w:val="Title"/>
    <w:next w:val="BodyText"/>
    <w:qFormat/>
    <w:pPr>
      <w:keepNext/>
      <w:keepLines/>
    </w:pPr>
    <w:rPr>
      <w:sz w:val="24"/>
      <w:szCs w:val="24"/>
    </w:rPr>
  </w:style>
  <w:style w:styleId="Date" w:type="paragraph">
    <w:name w:val="Date"/>
    <w:basedOn w:val="Title"/>
    <w:next w:val="BodyText"/>
    <w:qFormat/>
    <w:pPr>
      <w:keepNext/>
      <w:keepLines/>
    </w:pPr>
    <w:rPr>
      <w:sz w:val="24"/>
      <w:szCs w:val="24"/>
    </w:rPr>
  </w:style>
  <w:style w:customStyle="1" w:styleId="AbstractTitle" w:type="paragraph">
    <w:name w:val="Abstract Title"/>
    <w:basedOn w:val="Normal"/>
    <w:next w:val="Abstract"/>
    <w:qFormat/>
    <w:pPr>
      <w:keepNext/>
      <w:keepLines/>
      <w:spacing w:after="0" w:before="300"/>
      <w:jc w:val="center"/>
    </w:pPr>
    <w:rPr>
      <w:b/>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link w:val="Heading1Char"/>
    <w:uiPriority w:val="9"/>
    <w:qFormat/>
    <w:rsid w:val="00A10FD9"/>
    <w:pPr>
      <w:keepNext/>
      <w:keepLines/>
      <w:spacing w:after="80" w:before="360"/>
      <w:outlineLvl w:val="0"/>
    </w:pPr>
    <w:rPr>
      <w:rFonts w:asciiTheme="majorHAnsi" w:cstheme="majorBidi" w:eastAsiaTheme="majorEastAsia" w:hAnsiTheme="majorHAnsi"/>
      <w:color w:themeColor="accent1" w:themeShade="BF" w:val="0F4761"/>
      <w:sz w:val="40"/>
      <w:szCs w:val="40"/>
    </w:rPr>
  </w:style>
  <w:style w:styleId="Heading2" w:type="paragraph">
    <w:name w:val="heading 2"/>
    <w:basedOn w:val="Normal"/>
    <w:next w:val="BodyText"/>
    <w:link w:val="Heading2Char"/>
    <w:uiPriority w:val="9"/>
    <w:semiHidden/>
    <w:unhideWhenUsed/>
    <w:qFormat/>
    <w:rsid w:val="00A10FD9"/>
    <w:pPr>
      <w:keepNext/>
      <w:keepLines/>
      <w:spacing w:after="80" w:before="160"/>
      <w:outlineLvl w:val="1"/>
    </w:pPr>
    <w:rPr>
      <w:rFonts w:asciiTheme="majorHAnsi" w:cstheme="majorBidi" w:eastAsiaTheme="majorEastAsia" w:hAnsiTheme="majorHAnsi"/>
      <w:color w:themeColor="accent1" w:themeShade="BF" w:val="0F4761"/>
      <w:sz w:val="32"/>
      <w:szCs w:val="32"/>
    </w:rPr>
  </w:style>
  <w:style w:styleId="Heading3" w:type="paragraph">
    <w:name w:val="heading 3"/>
    <w:basedOn w:val="Normal"/>
    <w:next w:val="BodyText"/>
    <w:link w:val="Heading3Char"/>
    <w:uiPriority w:val="9"/>
    <w:semiHidden/>
    <w:unhideWhenUsed/>
    <w:qFormat/>
    <w:rsid w:val="00A10FD9"/>
    <w:pPr>
      <w:keepNext/>
      <w:keepLines/>
      <w:spacing w:after="80" w:before="160"/>
      <w:outlineLvl w:val="2"/>
    </w:pPr>
    <w:rPr>
      <w:rFonts w:cstheme="majorBidi" w:eastAsiaTheme="majorEastAsia"/>
      <w:color w:themeColor="accent1" w:themeShade="BF" w:val="0F4761"/>
      <w:sz w:val="28"/>
      <w:szCs w:val="28"/>
    </w:rPr>
  </w:style>
  <w:style w:styleId="Heading4" w:type="paragraph">
    <w:name w:val="heading 4"/>
    <w:basedOn w:val="Normal"/>
    <w:next w:val="BodyText"/>
    <w:link w:val="Heading4Char"/>
    <w:uiPriority w:val="9"/>
    <w:semiHidden/>
    <w:unhideWhenUsed/>
    <w:qFormat/>
    <w:rsid w:val="00A10FD9"/>
    <w:pPr>
      <w:keepNext/>
      <w:keepLines/>
      <w:spacing w:after="40" w:before="80"/>
      <w:outlineLvl w:val="3"/>
    </w:pPr>
    <w:rPr>
      <w:rFonts w:cstheme="majorBidi" w:eastAsiaTheme="majorEastAsia"/>
      <w:i/>
      <w:iCs/>
      <w:color w:themeColor="accent1" w:themeShade="BF" w:val="0F4761"/>
    </w:rPr>
  </w:style>
  <w:style w:styleId="Heading5" w:type="paragraph">
    <w:name w:val="heading 5"/>
    <w:basedOn w:val="Normal"/>
    <w:next w:val="BodyText"/>
    <w:link w:val="Heading5Char"/>
    <w:uiPriority w:val="9"/>
    <w:semiHidden/>
    <w:unhideWhenUsed/>
    <w:qFormat/>
    <w:rsid w:val="00A10FD9"/>
    <w:pPr>
      <w:keepNext/>
      <w:keepLines/>
      <w:spacing w:after="40" w:before="80"/>
      <w:outlineLvl w:val="4"/>
    </w:pPr>
    <w:rPr>
      <w:rFonts w:cstheme="majorBidi" w:eastAsiaTheme="majorEastAsia"/>
      <w:color w:themeColor="accent1" w:themeShade="BF" w:val="0F4761"/>
    </w:rPr>
  </w:style>
  <w:style w:styleId="Heading6" w:type="paragraph">
    <w:name w:val="heading 6"/>
    <w:basedOn w:val="Normal"/>
    <w:next w:val="BodyText"/>
    <w:link w:val="Heading6Char"/>
    <w:uiPriority w:val="9"/>
    <w:semiHidden/>
    <w:unhideWhenUsed/>
    <w:qFormat/>
    <w:rsid w:val="00A10FD9"/>
    <w:pPr>
      <w:keepNext/>
      <w:keepLines/>
      <w:spacing w:after="0" w:before="40"/>
      <w:outlineLvl w:val="5"/>
    </w:pPr>
    <w:rPr>
      <w:rFonts w:cstheme="majorBidi" w:eastAsiaTheme="majorEastAsia"/>
      <w:i/>
      <w:iCs/>
      <w:color w:themeColor="text1" w:themeTint="A6" w:val="595959"/>
    </w:rPr>
  </w:style>
  <w:style w:styleId="Heading7" w:type="paragraph">
    <w:name w:val="heading 7"/>
    <w:basedOn w:val="Normal"/>
    <w:next w:val="BodyText"/>
    <w:link w:val="Heading7Char"/>
    <w:uiPriority w:val="9"/>
    <w:semiHidden/>
    <w:unhideWhenUsed/>
    <w:qFormat/>
    <w:rsid w:val="00A10FD9"/>
    <w:pPr>
      <w:keepNext/>
      <w:keepLines/>
      <w:spacing w:after="0" w:before="40"/>
      <w:outlineLvl w:val="6"/>
    </w:pPr>
    <w:rPr>
      <w:rFonts w:cstheme="majorBidi" w:eastAsiaTheme="majorEastAsia"/>
      <w:color w:themeColor="text1" w:themeTint="A6" w:val="595959"/>
    </w:rPr>
  </w:style>
  <w:style w:styleId="Heading8" w:type="paragraph">
    <w:name w:val="heading 8"/>
    <w:basedOn w:val="Normal"/>
    <w:next w:val="BodyText"/>
    <w:link w:val="Heading8Char"/>
    <w:uiPriority w:val="9"/>
    <w:semiHidden/>
    <w:unhideWhenUsed/>
    <w:qFormat/>
    <w:rsid w:val="00A10FD9"/>
    <w:pPr>
      <w:keepNext/>
      <w:keepLines/>
      <w:spacing w:after="0"/>
      <w:outlineLvl w:val="7"/>
    </w:pPr>
    <w:rPr>
      <w:rFonts w:cstheme="majorBidi" w:eastAsiaTheme="majorEastAsia"/>
      <w:i/>
      <w:iCs/>
      <w:color w:themeColor="text1" w:themeTint="D8" w:val="272727"/>
    </w:rPr>
  </w:style>
  <w:style w:styleId="Heading9" w:type="paragraph">
    <w:name w:val="heading 9"/>
    <w:basedOn w:val="Normal"/>
    <w:next w:val="BodyText"/>
    <w:link w:val="Heading9Char"/>
    <w:uiPriority w:val="9"/>
    <w:semiHidden/>
    <w:unhideWhenUsed/>
    <w:qFormat/>
    <w:rsid w:val="00A10FD9"/>
    <w:pPr>
      <w:keepNext/>
      <w:keepLines/>
      <w:spacing w:after="0"/>
      <w:outlineLvl w:val="8"/>
    </w:pPr>
    <w:rPr>
      <w:rFonts w:cstheme="majorBidi" w:eastAsiaTheme="majorEastAsia"/>
      <w:color w:themeColor="text1" w:themeTint="D8" w:val="272727"/>
    </w:rPr>
  </w:style>
  <w:style w:customStyle="1" w:styleId="Heading1Char" w:type="character">
    <w:name w:val="Heading 1 Char"/>
    <w:basedOn w:val="DefaultParagraphFont"/>
    <w:link w:val="Heading1"/>
    <w:uiPriority w:val="9"/>
    <w:rsid w:val="00A10FD9"/>
    <w:rPr>
      <w:rFonts w:asciiTheme="majorHAnsi" w:cstheme="majorBidi" w:eastAsiaTheme="majorEastAsia" w:hAnsiTheme="majorHAnsi"/>
      <w:color w:themeColor="accent1" w:themeShade="BF" w:val="0F4761"/>
      <w:sz w:val="40"/>
      <w:szCs w:val="40"/>
    </w:rPr>
  </w:style>
  <w:style w:customStyle="1" w:styleId="Heading2Char" w:type="character">
    <w:name w:val="Heading 2 Char"/>
    <w:basedOn w:val="DefaultParagraphFont"/>
    <w:link w:val="Heading2"/>
    <w:uiPriority w:val="9"/>
    <w:semiHidden/>
    <w:rsid w:val="00A10FD9"/>
    <w:rPr>
      <w:rFonts w:asciiTheme="majorHAnsi" w:cstheme="majorBidi" w:eastAsiaTheme="majorEastAsia" w:hAnsiTheme="majorHAnsi"/>
      <w:color w:themeColor="accent1" w:themeShade="BF" w:val="0F4761"/>
      <w:sz w:val="32"/>
      <w:szCs w:val="32"/>
    </w:rPr>
  </w:style>
  <w:style w:customStyle="1" w:styleId="Heading3Char" w:type="character">
    <w:name w:val="Heading 3 Char"/>
    <w:basedOn w:val="DefaultParagraphFont"/>
    <w:link w:val="Heading3"/>
    <w:uiPriority w:val="9"/>
    <w:semiHidden/>
    <w:rsid w:val="00A10FD9"/>
    <w:rPr>
      <w:rFonts w:cstheme="majorBidi" w:eastAsiaTheme="majorEastAsia"/>
      <w:color w:themeColor="accent1" w:themeShade="BF" w:val="0F4761"/>
      <w:sz w:val="28"/>
      <w:szCs w:val="28"/>
    </w:rPr>
  </w:style>
  <w:style w:customStyle="1" w:styleId="Heading4Char" w:type="character">
    <w:name w:val="Heading 4 Char"/>
    <w:basedOn w:val="DefaultParagraphFont"/>
    <w:link w:val="Heading4"/>
    <w:uiPriority w:val="9"/>
    <w:semiHidden/>
    <w:rsid w:val="00A10FD9"/>
    <w:rPr>
      <w:rFonts w:cstheme="majorBidi" w:eastAsiaTheme="majorEastAsia"/>
      <w:i/>
      <w:iCs/>
      <w:color w:themeColor="accent1" w:themeShade="BF" w:val="0F4761"/>
    </w:rPr>
  </w:style>
  <w:style w:customStyle="1" w:styleId="Heading5Char" w:type="character">
    <w:name w:val="Heading 5 Char"/>
    <w:basedOn w:val="DefaultParagraphFont"/>
    <w:link w:val="Heading5"/>
    <w:uiPriority w:val="9"/>
    <w:semiHidden/>
    <w:rsid w:val="00A10FD9"/>
    <w:rPr>
      <w:rFonts w:cstheme="majorBidi" w:eastAsiaTheme="majorEastAsia"/>
      <w:color w:themeColor="accent1" w:themeShade="BF" w:val="0F4761"/>
    </w:rPr>
  </w:style>
  <w:style w:customStyle="1" w:styleId="Heading6Char" w:type="character">
    <w:name w:val="Heading 6 Char"/>
    <w:basedOn w:val="DefaultParagraphFont"/>
    <w:link w:val="Heading6"/>
    <w:uiPriority w:val="9"/>
    <w:semiHidden/>
    <w:rsid w:val="00A10FD9"/>
    <w:rPr>
      <w:rFonts w:cstheme="majorBidi" w:eastAsiaTheme="majorEastAsia"/>
      <w:i/>
      <w:iCs/>
      <w:color w:themeColor="text1" w:themeTint="A6" w:val="595959"/>
    </w:rPr>
  </w:style>
  <w:style w:customStyle="1" w:styleId="Heading7Char" w:type="character">
    <w:name w:val="Heading 7 Char"/>
    <w:basedOn w:val="DefaultParagraphFont"/>
    <w:link w:val="Heading7"/>
    <w:uiPriority w:val="9"/>
    <w:semiHidden/>
    <w:rsid w:val="00A10FD9"/>
    <w:rPr>
      <w:rFonts w:cstheme="majorBidi" w:eastAsiaTheme="majorEastAsia"/>
      <w:color w:themeColor="text1" w:themeTint="A6" w:val="595959"/>
    </w:rPr>
  </w:style>
  <w:style w:customStyle="1" w:styleId="Heading8Char" w:type="character">
    <w:name w:val="Heading 8 Char"/>
    <w:basedOn w:val="DefaultParagraphFont"/>
    <w:link w:val="Heading8"/>
    <w:uiPriority w:val="9"/>
    <w:semiHidden/>
    <w:rsid w:val="00A10FD9"/>
    <w:rPr>
      <w:rFonts w:cstheme="majorBidi" w:eastAsiaTheme="majorEastAsia"/>
      <w:i/>
      <w:iCs/>
      <w:color w:themeColor="text1" w:themeTint="D8" w:val="272727"/>
    </w:rPr>
  </w:style>
  <w:style w:customStyle="1" w:styleId="Heading9Char" w:type="character">
    <w:name w:val="Heading 9 Char"/>
    <w:basedOn w:val="DefaultParagraphFont"/>
    <w:link w:val="Heading9"/>
    <w:uiPriority w:val="9"/>
    <w:semiHidden/>
    <w:rsid w:val="00A10FD9"/>
    <w:rPr>
      <w:rFonts w:cstheme="majorBidi" w:eastAsiaTheme="majorEastAsia"/>
      <w:color w:themeColor="text1" w:themeTint="D8" w:val="272727"/>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Text"/>
    <w:next w:val="Footnote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8" Target="numbering.xml" /><Relationship Type="http://schemas.openxmlformats.org/officeDocument/2006/relationships/styles" Id="rId7" Target="styles.xml" /><Relationship Type="http://schemas.openxmlformats.org/officeDocument/2006/relationships/settings" Id="rId6" Target="settings.xml" /><Relationship Type="http://schemas.openxmlformats.org/officeDocument/2006/relationships/webSettings" Id="rId5" Target="webSettings.xml" /><Relationship Type="http://schemas.openxmlformats.org/officeDocument/2006/relationships/fontTable" Id="rId4" Target="fontTable.xml" /><Relationship Type="http://schemas.openxmlformats.org/officeDocument/2006/relationships/theme" Id="rId3" Target="theme/theme1.xml" /><Relationship Type="http://schemas.openxmlformats.org/officeDocument/2006/relationships/footnotes" Id="rId2" Target="footnotes.xml" /><Relationship Type="http://schemas.openxmlformats.org/officeDocument/2006/relationships/comments" Id="rId1"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2026-07-21T00:18:17Z</dcterms:created>
  <dcterms:modified xsi:type="dcterms:W3CDTF">2026-07-21T00:18:17Z</dcterms:modified>
</cp:coreProperties>
</file>

<file path=docProps/custom.xml><?xml version="1.0" encoding="utf-8"?>
<Properties xmlns="http://schemas.openxmlformats.org/officeDocument/2006/custom-properties" xmlns:vt="http://schemas.openxmlformats.org/officeDocument/2006/docPropsVTypes"/>
</file>