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hi-earnings-predictions--2026-07-21"/>
    <w:p>
      <w:pPr>
        <w:pStyle w:val="Heading1"/>
      </w:pPr>
      <w:r>
        <w:t xml:space="preserve">DHI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orders (homes)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~23,650 vs. cons 24,100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Home sales 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~19.8% vs. cons 19.9%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~$3.04 vs. cons $2.99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Homebuilding closings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~25,100 vs. cons 25,600 (FY2026 Q4)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Home sales gross margin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~19.6% vs. cons 19.9% (FY2026 Q4)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Consolidated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~$33.75B vs. cons $33.85B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-4.6% (FOLLOW-THROUGH)</w:t>
            </w:r>
          </w:p>
        </w:tc>
        <w:tc>
          <w:tcPr/>
          <w:p>
            <w:pPr>
              <w:pStyle w:val="Compact"/>
            </w:pPr>
            <w:r>
              <w:t xml:space="preserve">FY2026 revenue guide midpoint of ~$33.75B vs. consensus $33.85B and FY2026 Q4 gross-margin guide of ~19.6% vs. consensus 19.9% imply lower out-period EPS revisions; the order miss should outweigh a buyback-assisted Q3 EPS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2026-07-21T00:10:43Z</dcterms:created>
  <dcterms:modified xsi:type="dcterms:W3CDTF">2026-07-21T00:10:43Z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