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dr-horton-fy2026-q3-earnings-preview"/>
    <w:p>
      <w:pPr>
        <w:pStyle w:val="Heading1"/>
      </w:pPr>
      <w:r>
        <w:t xml:space="preserve">D.R. Horton FY2026 Q3 Earnings Preview</w:t>
      </w:r>
    </w:p>
    <w:p>
      <w:pPr>
        <w:pStyle w:val="FirstParagraph"/>
      </w:pPr>
      <w:r>
        <w:rPr>
          <w:b/>
          <w:bCs/>
        </w:rPr>
        <w:t xml:space="preserve">Report:</w:t>
      </w:r>
      <w:r>
        <w:t xml:space="preserve"> </w:t>
      </w:r>
      <w:r>
        <w:t xml:space="preserve">Tuesday, July 21, 2026, before the market opens</w:t>
      </w:r>
      <w:r>
        <w:br/>
      </w:r>
      <w:r>
        <w:rPr>
          <w:b/>
          <w:bCs/>
        </w:rPr>
        <w:t xml:space="preserve">Conference call:</w:t>
      </w:r>
      <w:r>
        <w:t xml:space="preserve"> </w:t>
      </w:r>
      <w:r>
        <w:t xml:space="preserve">8:30 a.m. ET</w:t>
      </w:r>
      <w:r>
        <w:br/>
      </w:r>
      <w:r>
        <w:rPr>
          <w:b/>
          <w:bCs/>
        </w:rPr>
        <w:t xml:space="preserve">Quarter ended:</w:t>
      </w:r>
      <w:r>
        <w:t xml:space="preserve"> </w:t>
      </w:r>
      <w:r>
        <w:t xml:space="preserve">June 30, 2026 (</w:t>
      </w:r>
      <w:hyperlink r:id="rId9">
        <w:r>
          <w:rPr>
            <w:rStyle w:val="Hyperlink"/>
          </w:rPr>
          <w:t xml:space="preserve">investor.drhorton.com</w:t>
        </w:r>
      </w:hyperlink>
      <w:r>
        <w:t xml:space="preserve">)</w:t>
      </w:r>
    </w:p>
    <w:bookmarkStart w:id="10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The central question is no longer whether D.R. Horton can generate volume in a difficult housing market. Its fiscal second-quarter orders rose 11% year over year despite weak affordability and cautious buyers. The question is</w:t>
      </w:r>
      <w:r>
        <w:t xml:space="preserve"> </w:t>
      </w:r>
      <w:r>
        <w:rPr>
          <w:b/>
          <w:bCs/>
        </w:rPr>
        <w:t xml:space="preserve">how much margin DHI must sacrifice to maintain that pace—and whether summer demand supports its full-year outlook</w:t>
      </w:r>
      <w:r>
        <w:t xml:space="preserve">.</w:t>
      </w:r>
    </w:p>
    <w:p>
      <w:pPr>
        <w:pStyle w:val="BodyText"/>
      </w:pPr>
      <w:r>
        <w:t xml:space="preserve">The reported Q3 numbers should be reasonably predictable because management already provided detailed guidance. The larger stock-moving event will probably be the</w:t>
      </w:r>
      <w:r>
        <w:t xml:space="preserve"> </w:t>
      </w:r>
      <w:r>
        <w:rPr>
          <w:b/>
          <w:bCs/>
        </w:rPr>
        <w:t xml:space="preserve">fiscal Q4 outlook</w:t>
      </w:r>
      <w:r>
        <w:t xml:space="preserve">, particularly commentary on:</w:t>
      </w:r>
    </w:p>
    <w:p>
      <w:pPr>
        <w:pStyle w:val="Compact"/>
        <w:numPr>
          <w:ilvl w:val="0"/>
          <w:numId w:val="1001"/>
        </w:numPr>
      </w:pPr>
      <w:r>
        <w:t xml:space="preserve">July order trends and normal summer seasonality;</w:t>
      </w:r>
    </w:p>
    <w:p>
      <w:pPr>
        <w:pStyle w:val="Compact"/>
        <w:numPr>
          <w:ilvl w:val="0"/>
          <w:numId w:val="1001"/>
        </w:numPr>
      </w:pPr>
      <w:r>
        <w:t xml:space="preserve">mortgage-rate buydowns and other incentives;</w:t>
      </w:r>
    </w:p>
    <w:p>
      <w:pPr>
        <w:pStyle w:val="Compact"/>
        <w:numPr>
          <w:ilvl w:val="0"/>
          <w:numId w:val="1001"/>
        </w:numPr>
      </w:pPr>
      <w:r>
        <w:t xml:space="preserve">whether lower construction costs can offset higher lot costs;</w:t>
      </w:r>
    </w:p>
    <w:p>
      <w:pPr>
        <w:pStyle w:val="Compact"/>
        <w:numPr>
          <w:ilvl w:val="0"/>
          <w:numId w:val="1001"/>
        </w:numPr>
      </w:pPr>
      <w:r>
        <w:t xml:space="preserve">completed-spec inventory; and</w:t>
      </w:r>
    </w:p>
    <w:p>
      <w:pPr>
        <w:pStyle w:val="Compact"/>
        <w:numPr>
          <w:ilvl w:val="0"/>
          <w:numId w:val="1001"/>
        </w:numPr>
      </w:pPr>
      <w:r>
        <w:t xml:space="preserve">full-year closings, revenue, cash flow and buyback guidance.</w:t>
      </w:r>
    </w:p>
    <w:bookmarkEnd w:id="10"/>
    <w:bookmarkStart w:id="13" w:name="expectations-at-a-glance"/>
    <w:p>
      <w:pPr>
        <w:pStyle w:val="Heading2"/>
      </w:pPr>
      <w:r>
        <w:t xml:space="preserve">Expectations at a glance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Q3 FY2026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Q3 FY2025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Consolidated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Street: approximately</w:t>
            </w:r>
            <w:r>
              <w:t xml:space="preserve"> </w:t>
            </w:r>
            <m:oMath>
              <m:r>
                <m:t>9.1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9.2B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$9.23B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Street: approximately</w:t>
            </w:r>
            <w:r>
              <w:t xml:space="preserve"> </w:t>
            </w:r>
            <m:oMath>
              <m:r>
                <m:t>2.97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$3.36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Home closings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Company guide:</w:t>
            </w:r>
            <w:r>
              <w:t xml:space="preserve"> </w:t>
            </w:r>
            <w:r>
              <w:rPr>
                <w:b/>
                <w:bCs/>
              </w:rPr>
              <w:t xml:space="preserve">23,500–24,000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23,160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Home sales gross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Company guide:</w:t>
            </w:r>
            <w:r>
              <w:t xml:space="preserve"> </w:t>
            </w:r>
            <w:r>
              <w:rPr>
                <w:b/>
                <w:bCs/>
              </w:rPr>
              <w:t xml:space="preserve">19.7%–20.2%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Consolidated pretax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Company guide:</w:t>
            </w:r>
            <w:r>
              <w:t xml:space="preserve"> </w:t>
            </w:r>
            <w:r>
              <w:rPr>
                <w:b/>
                <w:bCs/>
              </w:rPr>
              <w:t xml:space="preserve">12.2%–12.7%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orders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 estimate: approximately</w:t>
            </w:r>
            <w:r>
              <w:t xml:space="preserve"> </w:t>
            </w:r>
            <w:r>
              <w:rPr>
                <w:b/>
                <w:bCs/>
              </w:rPr>
              <w:t xml:space="preserve">24,100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23,071</w:t>
            </w:r>
          </w:p>
        </w:tc>
      </w:tr>
    </w:tbl>
    <w:p>
      <w:pPr>
        <w:pStyle w:val="BodyText"/>
      </w:pPr>
      <w:r>
        <w:t xml:space="preserve">Consensus varies slightly by provider, with EPS estimates of</w:t>
      </w:r>
      <w:r>
        <w:t xml:space="preserve"> </w:t>
      </w:r>
      <m:oMath>
        <m:r>
          <m:t>2.97</m:t>
        </m:r>
        <m:r>
          <m:rPr>
            <m:sty m:val="p"/>
          </m:rPr>
          <m:t>–</m:t>
        </m:r>
      </m:oMath>
      <w:r>
        <w:t xml:space="preserve">2.99 and revenue estimates of roughly</w:t>
      </w:r>
      <w:r>
        <w:t xml:space="preserve"> </w:t>
      </w:r>
      <m:oMath>
        <m:r>
          <m:t>9.10</m:t>
        </m:r>
        <m:r>
          <m:rPr>
            <m:sty m:val="p"/>
          </m:rPr>
          <m:t>–</m:t>
        </m:r>
      </m:oMath>
      <w:r>
        <w:t xml:space="preserve">9.18 billion. The Street order estimate implies approximately 4.5% year-over-year growth. (</w:t>
      </w:r>
      <w:hyperlink r:id="rId11">
        <w:r>
          <w:rPr>
            <w:rStyle w:val="Hyperlink"/>
          </w:rPr>
          <w:t xml:space="preserve">tradingview.com</w:t>
        </w:r>
      </w:hyperlink>
      <w:r>
        <w:t xml:space="preserve">)</w:t>
      </w:r>
    </w:p>
    <w:p>
      <w:pPr>
        <w:pStyle w:val="BodyText"/>
      </w:pPr>
      <w:r>
        <w:t xml:space="preserve">Last year’s Q3 included $3.36 of EPS, 23,160 closings, 23,071 orders and a 21.8% home sales gross margin. (</w:t>
      </w:r>
      <w:hyperlink r:id="rId12">
        <w:r>
          <w:rPr>
            <w:rStyle w:val="Hyperlink"/>
          </w:rPr>
          <w:t xml:space="preserve">investor.drhorton.com</w:t>
        </w:r>
      </w:hyperlink>
      <w:r>
        <w:t xml:space="preserve">)</w:t>
      </w:r>
    </w:p>
    <w:bookmarkEnd w:id="13"/>
    <w:bookmarkStart w:id="23" w:name="what-matters-most"/>
    <w:p>
      <w:pPr>
        <w:pStyle w:val="Heading2"/>
      </w:pPr>
      <w:r>
        <w:t xml:space="preserve">What matters most</w:t>
      </w:r>
    </w:p>
    <w:bookmarkStart w:id="16" w:name="X804a6fd3c6511696976c15c1602ced93465c524"/>
    <w:p>
      <w:pPr>
        <w:pStyle w:val="Heading3"/>
      </w:pPr>
      <w:r>
        <w:t xml:space="preserve">1. Orders and incentives—not the revenue headline</w:t>
      </w:r>
    </w:p>
    <w:p>
      <w:pPr>
        <w:pStyle w:val="FirstParagraph"/>
      </w:pPr>
      <w:r>
        <w:t xml:space="preserve">DHI entered Q3 with favorable momentum. Fiscal Q2 net orders increased 11% to 24,992, order value rose 10%, backlog increased 19% to 16,882 homes and the cancellation rate held at 16%. The average order price nevertheless fell 2%, illustrating the continued trade-off between volume and pricing. (</w:t>
      </w:r>
      <w:hyperlink r:id="rId14">
        <w:r>
          <w:rPr>
            <w:rStyle w:val="Hyperlink"/>
          </w:rPr>
          <w:t xml:space="preserve">investor.drhorton.com</w:t>
        </w:r>
      </w:hyperlink>
      <w:r>
        <w:t xml:space="preserve">)</w:t>
      </w:r>
    </w:p>
    <w:p>
      <w:pPr>
        <w:pStyle w:val="BodyText"/>
      </w:pPr>
      <w:r>
        <w:t xml:space="preserve">A Q3 order result near 24,000 would represent respectable growth against a difficult backdrop. More important will be the means used to generate those orders.</w:t>
      </w:r>
    </w:p>
    <w:p>
      <w:pPr>
        <w:pStyle w:val="BodyText"/>
      </w:pPr>
      <w:r>
        <w:t xml:space="preserve">Management said last quarter that incentives were approximately</w:t>
      </w:r>
      <w:r>
        <w:t xml:space="preserve"> </w:t>
      </w:r>
      <w:r>
        <w:rPr>
          <w:b/>
          <w:bCs/>
        </w:rPr>
        <w:t xml:space="preserve">10% of home-sales revenue</w:t>
      </w:r>
      <w:r>
        <w:t xml:space="preserve">. Roughly 90% of buyers using DHI Mortgage received some form of permanent or temporary rate buydown, equivalent to about 73% of total company closings. These programs are central to DHI’s affordability strategy but also represent the largest near-term margin variable. (</w:t>
      </w:r>
      <w:hyperlink r:id="rId15">
        <w:r>
          <w:rPr>
            <w:rStyle w:val="Hyperlink"/>
          </w:rPr>
          <w:t xml:space="preserve">investor.drhorton.com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Constructive signals:</w:t>
      </w:r>
    </w:p>
    <w:p>
      <w:pPr>
        <w:pStyle w:val="Compact"/>
        <w:numPr>
          <w:ilvl w:val="0"/>
          <w:numId w:val="1002"/>
        </w:numPr>
      </w:pPr>
      <w:r>
        <w:t xml:space="preserve">Orders of roughly 24,000 or better;</w:t>
      </w:r>
    </w:p>
    <w:p>
      <w:pPr>
        <w:pStyle w:val="Compact"/>
        <w:numPr>
          <w:ilvl w:val="0"/>
          <w:numId w:val="1002"/>
        </w:numPr>
      </w:pPr>
      <w:r>
        <w:t xml:space="preserve">cancellation rate no worse than last year’s 17%;</w:t>
      </w:r>
    </w:p>
    <w:p>
      <w:pPr>
        <w:pStyle w:val="Compact"/>
        <w:numPr>
          <w:ilvl w:val="0"/>
          <w:numId w:val="1002"/>
        </w:numPr>
      </w:pPr>
      <w:r>
        <w:t xml:space="preserve">order ASP stabilizing around Q2’s $366,300;</w:t>
      </w:r>
    </w:p>
    <w:p>
      <w:pPr>
        <w:pStyle w:val="Compact"/>
        <w:numPr>
          <w:ilvl w:val="0"/>
          <w:numId w:val="1002"/>
        </w:numPr>
      </w:pPr>
      <w:r>
        <w:t xml:space="preserve">incentives stable or declining sequentially;</w:t>
      </w:r>
    </w:p>
    <w:p>
      <w:pPr>
        <w:pStyle w:val="Compact"/>
        <w:numPr>
          <w:ilvl w:val="0"/>
          <w:numId w:val="1002"/>
        </w:numPr>
      </w:pPr>
      <w:r>
        <w:t xml:space="preserve">orders growing at least in line with community count.</w:t>
      </w:r>
    </w:p>
    <w:p>
      <w:pPr>
        <w:pStyle w:val="FirstParagraph"/>
      </w:pPr>
      <w:r>
        <w:rPr>
          <w:b/>
          <w:bCs/>
        </w:rPr>
        <w:t xml:space="preserve">Warning signals:</w:t>
      </w:r>
    </w:p>
    <w:p>
      <w:pPr>
        <w:pStyle w:val="Compact"/>
        <w:numPr>
          <w:ilvl w:val="0"/>
          <w:numId w:val="1003"/>
        </w:numPr>
      </w:pPr>
      <w:r>
        <w:t xml:space="preserve">Orders below the prior-year 23,071;</w:t>
      </w:r>
    </w:p>
    <w:p>
      <w:pPr>
        <w:pStyle w:val="Compact"/>
        <w:numPr>
          <w:ilvl w:val="0"/>
          <w:numId w:val="1003"/>
        </w:numPr>
      </w:pPr>
      <w:r>
        <w:t xml:space="preserve">deterioration late in the quarter or during July;</w:t>
      </w:r>
    </w:p>
    <w:p>
      <w:pPr>
        <w:pStyle w:val="Compact"/>
        <w:numPr>
          <w:ilvl w:val="0"/>
          <w:numId w:val="1003"/>
        </w:numPr>
      </w:pPr>
      <w:r>
        <w:t xml:space="preserve">higher cancellations tied to mortgage qualification;</w:t>
      </w:r>
    </w:p>
    <w:p>
      <w:pPr>
        <w:pStyle w:val="Compact"/>
        <w:numPr>
          <w:ilvl w:val="0"/>
          <w:numId w:val="1003"/>
        </w:numPr>
      </w:pPr>
      <w:r>
        <w:t xml:space="preserve">another material decline in order ASP;</w:t>
      </w:r>
    </w:p>
    <w:p>
      <w:pPr>
        <w:pStyle w:val="Compact"/>
        <w:numPr>
          <w:ilvl w:val="0"/>
          <w:numId w:val="1003"/>
        </w:numPr>
      </w:pPr>
      <w:r>
        <w:t xml:space="preserve">incentives rising above Q2 levels merely to preserve absorption.</w:t>
      </w:r>
    </w:p>
    <w:bookmarkEnd w:id="16"/>
    <w:bookmarkStart w:id="17" w:name="Xe048f774a1a400a681b74c8dfd4c031c03acd8d"/>
    <w:p>
      <w:pPr>
        <w:pStyle w:val="Heading3"/>
      </w:pPr>
      <w:r>
        <w:t xml:space="preserve">2. Gross margin is the clearest quality test</w:t>
      </w:r>
    </w:p>
    <w:p>
      <w:pPr>
        <w:pStyle w:val="FirstParagraph"/>
      </w:pPr>
      <w:r>
        <w:t xml:space="preserve">Fiscal Q2 home sales gross margin was 20.1%, but it included a 40-basis-point benefit from favorable litigation and unusually low warranty costs. On a normalized basis, management characterized the margin as approximately</w:t>
      </w:r>
      <w:r>
        <w:t xml:space="preserve"> </w:t>
      </w:r>
      <w:r>
        <w:rPr>
          <w:b/>
          <w:bCs/>
        </w:rPr>
        <w:t xml:space="preserve">19.7%</w:t>
      </w:r>
      <w:r>
        <w:t xml:space="preserve">, effectively the bottom of its Q3 guidance range. (</w:t>
      </w:r>
      <w:hyperlink r:id="rId14">
        <w:r>
          <w:rPr>
            <w:rStyle w:val="Hyperlink"/>
          </w:rPr>
          <w:t xml:space="preserve">investor.drhorton.com</w:t>
        </w:r>
      </w:hyperlink>
      <w:r>
        <w:t xml:space="preserve">)</w:t>
      </w:r>
    </w:p>
    <w:p>
      <w:pPr>
        <w:pStyle w:val="BodyText"/>
      </w:pPr>
      <w:r>
        <w:t xml:space="preserve">The moving pieces are relatively clear:</w:t>
      </w:r>
    </w:p>
    <w:p>
      <w:pPr>
        <w:pStyle w:val="BodyText"/>
      </w:pPr>
      <w:r>
        <w:rPr>
          <w:b/>
          <w:bCs/>
        </w:rPr>
        <w:t xml:space="preserve">Tailwinds</w:t>
      </w:r>
    </w:p>
    <w:p>
      <w:pPr>
        <w:pStyle w:val="Compact"/>
        <w:numPr>
          <w:ilvl w:val="0"/>
          <w:numId w:val="1004"/>
        </w:numPr>
      </w:pPr>
      <w:r>
        <w:t xml:space="preserve">Lower stick-and-brick construction costs;</w:t>
      </w:r>
    </w:p>
    <w:p>
      <w:pPr>
        <w:pStyle w:val="Compact"/>
        <w:numPr>
          <w:ilvl w:val="0"/>
          <w:numId w:val="1004"/>
        </w:numPr>
      </w:pPr>
      <w:r>
        <w:t xml:space="preserve">improving labor availability;</w:t>
      </w:r>
    </w:p>
    <w:p>
      <w:pPr>
        <w:pStyle w:val="Compact"/>
        <w:numPr>
          <w:ilvl w:val="0"/>
          <w:numId w:val="1004"/>
        </w:numPr>
      </w:pPr>
      <w:r>
        <w:t xml:space="preserve">faster construction cycles;</w:t>
      </w:r>
    </w:p>
    <w:p>
      <w:pPr>
        <w:pStyle w:val="Compact"/>
        <w:numPr>
          <w:ilvl w:val="0"/>
          <w:numId w:val="1004"/>
        </w:numPr>
      </w:pPr>
      <w:r>
        <w:t xml:space="preserve">fewer aged completed homes;</w:t>
      </w:r>
    </w:p>
    <w:p>
      <w:pPr>
        <w:pStyle w:val="Compact"/>
        <w:numPr>
          <w:ilvl w:val="0"/>
          <w:numId w:val="1004"/>
        </w:numPr>
      </w:pPr>
      <w:r>
        <w:t xml:space="preserve">more homes being sold earlier in construction;</w:t>
      </w:r>
    </w:p>
    <w:p>
      <w:pPr>
        <w:pStyle w:val="Compact"/>
        <w:numPr>
          <w:ilvl w:val="0"/>
          <w:numId w:val="1004"/>
        </w:numPr>
      </w:pPr>
      <w:r>
        <w:t xml:space="preserve">SG&amp;A leverage from higher seasonal closings.</w:t>
      </w:r>
    </w:p>
    <w:p>
      <w:pPr>
        <w:pStyle w:val="FirstParagraph"/>
      </w:pPr>
      <w:r>
        <w:rPr>
          <w:b/>
          <w:bCs/>
        </w:rPr>
        <w:t xml:space="preserve">Headwinds</w:t>
      </w:r>
    </w:p>
    <w:p>
      <w:pPr>
        <w:pStyle w:val="Compact"/>
        <w:numPr>
          <w:ilvl w:val="0"/>
          <w:numId w:val="1005"/>
        </w:numPr>
      </w:pPr>
      <w:r>
        <w:t xml:space="preserve">Elevated mortgage-rate buydowns;</w:t>
      </w:r>
    </w:p>
    <w:p>
      <w:pPr>
        <w:pStyle w:val="Compact"/>
        <w:numPr>
          <w:ilvl w:val="0"/>
          <w:numId w:val="1005"/>
        </w:numPr>
      </w:pPr>
      <w:r>
        <w:t xml:space="preserve">lower average selling prices;</w:t>
      </w:r>
    </w:p>
    <w:p>
      <w:pPr>
        <w:pStyle w:val="Compact"/>
        <w:numPr>
          <w:ilvl w:val="0"/>
          <w:numId w:val="1005"/>
        </w:numPr>
      </w:pPr>
      <w:r>
        <w:t xml:space="preserve">lot costs that were still up 4% year over year last quarter;</w:t>
      </w:r>
    </w:p>
    <w:p>
      <w:pPr>
        <w:pStyle w:val="Compact"/>
        <w:numPr>
          <w:ilvl w:val="0"/>
          <w:numId w:val="1005"/>
        </w:numPr>
      </w:pPr>
      <w:r>
        <w:t xml:space="preserve">normalization of warranty and litigation expense;</w:t>
      </w:r>
    </w:p>
    <w:p>
      <w:pPr>
        <w:pStyle w:val="Compact"/>
        <w:numPr>
          <w:ilvl w:val="0"/>
          <w:numId w:val="1005"/>
        </w:numPr>
      </w:pPr>
      <w:r>
        <w:t xml:space="preserve">potentially higher materials and transportation costs.</w:t>
      </w:r>
    </w:p>
    <w:p>
      <w:pPr>
        <w:pStyle w:val="FirstParagraph"/>
      </w:pPr>
      <w:r>
        <w:t xml:space="preserve">A gross margin</w:t>
      </w:r>
      <w:r>
        <w:t xml:space="preserve"> </w:t>
      </w:r>
      <w:r>
        <w:rPr>
          <w:b/>
          <w:bCs/>
        </w:rPr>
        <w:t xml:space="preserve">above 20% without another unusual benefit</w:t>
      </w:r>
      <w:r>
        <w:t xml:space="preserve"> </w:t>
      </w:r>
      <w:r>
        <w:t xml:space="preserve">would be a meaningful positive. A result below 19.7%, or Q4 guidance suggesting another step down, would imply that pricing and incentives are overwhelming the company’s construction-cost savings.</w:t>
      </w:r>
    </w:p>
    <w:bookmarkEnd w:id="17"/>
    <w:bookmarkStart w:id="19" w:name="Xb83697fe0e3fa60f9908ab06839c0fe0a8e94aa"/>
    <w:p>
      <w:pPr>
        <w:pStyle w:val="Heading3"/>
      </w:pPr>
      <w:r>
        <w:t xml:space="preserve">3. The Q4 guide will likely determine the stock reaction</w:t>
      </w:r>
    </w:p>
    <w:p>
      <w:pPr>
        <w:pStyle w:val="FirstParagraph"/>
      </w:pPr>
      <w:r>
        <w:t xml:space="preserve">DHI maintained FY2026 guidance after Q2 for:</w:t>
      </w:r>
    </w:p>
    <w:p>
      <w:pPr>
        <w:pStyle w:val="Compact"/>
        <w:numPr>
          <w:ilvl w:val="0"/>
          <w:numId w:val="1006"/>
        </w:numPr>
      </w:pPr>
      <w:r>
        <w:t xml:space="preserve">consolidated revenue of</w:t>
      </w:r>
      <w:r>
        <w:t xml:space="preserve"> </w:t>
      </w:r>
      <m:oMath>
        <m:r>
          <m:t>33.5</m:t>
        </m:r>
        <m:r>
          <m:rPr>
            <m:sty m:val="p"/>
          </m:rPr>
          <m:t>–</m:t>
        </m:r>
      </m:oMath>
      <w:r>
        <w:rPr>
          <w:b/>
          <w:bCs/>
        </w:rPr>
        <w:t xml:space="preserve">34.5 billion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86,000–87,500</w:t>
      </w:r>
      <w:r>
        <w:t xml:space="preserve"> </w:t>
      </w:r>
      <w:r>
        <w:t xml:space="preserve">home closings;</w:t>
      </w:r>
    </w:p>
    <w:p>
      <w:pPr>
        <w:pStyle w:val="Compact"/>
        <w:numPr>
          <w:ilvl w:val="0"/>
          <w:numId w:val="1006"/>
        </w:numPr>
      </w:pPr>
      <w:r>
        <w:t xml:space="preserve">at least</w:t>
      </w:r>
      <w:r>
        <w:t xml:space="preserve"> </w:t>
      </w:r>
      <w:r>
        <w:rPr>
          <w:b/>
          <w:bCs/>
        </w:rPr>
        <w:t xml:space="preserve">$3 billion</w:t>
      </w:r>
      <w:r>
        <w:t xml:space="preserve"> </w:t>
      </w:r>
      <w:r>
        <w:t xml:space="preserve">of operating cash flow;</w:t>
      </w:r>
    </w:p>
    <w:p>
      <w:pPr>
        <w:pStyle w:val="Compact"/>
        <w:numPr>
          <w:ilvl w:val="0"/>
          <w:numId w:val="1006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$2.5 billion</w:t>
      </w:r>
      <w:r>
        <w:t xml:space="preserve"> </w:t>
      </w:r>
      <w:r>
        <w:t xml:space="preserve">of share repurchases; and</w:t>
      </w:r>
    </w:p>
    <w:p>
      <w:pPr>
        <w:pStyle w:val="Compact"/>
        <w:numPr>
          <w:ilvl w:val="0"/>
          <w:numId w:val="1006"/>
        </w:numPr>
      </w:pPr>
      <w:r>
        <w:t xml:space="preserve">roughly</w:t>
      </w:r>
      <w:r>
        <w:t xml:space="preserve"> </w:t>
      </w:r>
      <w:r>
        <w:rPr>
          <w:b/>
          <w:bCs/>
        </w:rPr>
        <w:t xml:space="preserve">$500 million</w:t>
      </w:r>
      <w:r>
        <w:t xml:space="preserve"> </w:t>
      </w:r>
      <w:r>
        <w:t xml:space="preserve">of dividends. (</w:t>
      </w:r>
      <w:hyperlink r:id="rId18">
        <w:r>
          <w:rPr>
            <w:rStyle w:val="Hyperlink"/>
          </w:rPr>
          <w:t xml:space="preserve">investor.drhorton.com</w:t>
        </w:r>
      </w:hyperlink>
      <w:r>
        <w:t xml:space="preserve">)</w:t>
      </w:r>
    </w:p>
    <w:p>
      <w:pPr>
        <w:pStyle w:val="FirstParagraph"/>
      </w:pPr>
      <w:r>
        <w:t xml:space="preserve">After first-half closings of 37,304 and the Q3 guide, DHI would need approximately</w:t>
      </w:r>
      <w:r>
        <w:t xml:space="preserve"> </w:t>
      </w:r>
      <w:r>
        <w:rPr>
          <w:b/>
          <w:bCs/>
        </w:rPr>
        <w:t xml:space="preserve">24,700–26,700 Q4 closings</w:t>
      </w:r>
      <w:r>
        <w:t xml:space="preserve"> </w:t>
      </w:r>
      <w:r>
        <w:t xml:space="preserve">to land within the annual range. That is achievable seasonally, but it makes the outlook sensitive to summer orders, cancellations and construction execution.</w:t>
      </w:r>
    </w:p>
    <w:p>
      <w:pPr>
        <w:pStyle w:val="BodyText"/>
      </w:pPr>
      <w:r>
        <w:t xml:space="preserve">Investors should focus on whether management:</w:t>
      </w:r>
    </w:p>
    <w:p>
      <w:pPr>
        <w:pStyle w:val="Compact"/>
        <w:numPr>
          <w:ilvl w:val="0"/>
          <w:numId w:val="1007"/>
        </w:numPr>
      </w:pPr>
      <w:r>
        <w:t xml:space="preserve">maintains the full-year closing and revenue ranges;</w:t>
      </w:r>
    </w:p>
    <w:p>
      <w:pPr>
        <w:pStyle w:val="Compact"/>
        <w:numPr>
          <w:ilvl w:val="0"/>
          <w:numId w:val="1007"/>
        </w:numPr>
      </w:pPr>
      <w:r>
        <w:t xml:space="preserve">guides Q4 gross margin at or above Q3;</w:t>
      </w:r>
    </w:p>
    <w:p>
      <w:pPr>
        <w:pStyle w:val="Compact"/>
        <w:numPr>
          <w:ilvl w:val="0"/>
          <w:numId w:val="1007"/>
        </w:numPr>
      </w:pPr>
      <w:r>
        <w:t xml:space="preserve">expects Q4 incentives to remain stable or rise;</w:t>
      </w:r>
    </w:p>
    <w:p>
      <w:pPr>
        <w:pStyle w:val="Compact"/>
        <w:numPr>
          <w:ilvl w:val="0"/>
          <w:numId w:val="1007"/>
        </w:numPr>
      </w:pPr>
      <w:r>
        <w:t xml:space="preserve">sees July demand tracking normal seasonality; and</w:t>
      </w:r>
    </w:p>
    <w:p>
      <w:pPr>
        <w:pStyle w:val="Compact"/>
        <w:numPr>
          <w:ilvl w:val="0"/>
          <w:numId w:val="1007"/>
        </w:numPr>
      </w:pPr>
      <w:r>
        <w:t xml:space="preserve">continues to expect at least $3 billion of operating cash flow.</w:t>
      </w:r>
    </w:p>
    <w:p>
      <w:pPr>
        <w:pStyle w:val="FirstParagraph"/>
      </w:pPr>
      <w:r>
        <w:t xml:space="preserve">A small Q3 earnings beat paired with a weaker Q4 guide would be lower quality than an in-line print with stable margins and unchanged annual targets.</w:t>
      </w:r>
    </w:p>
    <w:bookmarkEnd w:id="19"/>
    <w:bookmarkStart w:id="20" w:name="Xf2712f69f90df8ebcd488ded42fd9e404d55a79"/>
    <w:p>
      <w:pPr>
        <w:pStyle w:val="Heading3"/>
      </w:pPr>
      <w:r>
        <w:t xml:space="preserve">4. Inventory discipline is an important source of downside protection</w:t>
      </w:r>
    </w:p>
    <w:p>
      <w:pPr>
        <w:pStyle w:val="FirstParagraph"/>
      </w:pPr>
      <w:r>
        <w:t xml:space="preserve">DHI ended March with 38,200 homes in inventory, including 22,900 unsold homes and only 5,500 completed unsold homes. Completed unsold inventory had fallen from 9,300 at fiscal year-end and was 35% below the prior-year level. (</w:t>
      </w:r>
      <w:hyperlink r:id="rId14">
        <w:r>
          <w:rPr>
            <w:rStyle w:val="Hyperlink"/>
          </w:rPr>
          <w:t xml:space="preserve">investor.drhorton.com</w:t>
        </w:r>
      </w:hyperlink>
      <w:r>
        <w:t xml:space="preserve">)</w:t>
      </w:r>
    </w:p>
    <w:p>
      <w:pPr>
        <w:pStyle w:val="BodyText"/>
      </w:pPr>
      <w:r>
        <w:t xml:space="preserve">This matters because aged completed homes generally require the deepest discounts. Continued reduction—or even stability—in completed-spec inventory would indicate that DHI is matching starts to sales effectively.</w:t>
      </w:r>
    </w:p>
    <w:p>
      <w:pPr>
        <w:pStyle w:val="BodyText"/>
      </w:pPr>
      <w:r>
        <w:t xml:space="preserve">Investors should compare:</w:t>
      </w:r>
    </w:p>
    <w:p>
      <w:pPr>
        <w:pStyle w:val="Compact"/>
        <w:numPr>
          <w:ilvl w:val="0"/>
          <w:numId w:val="1008"/>
        </w:numPr>
      </w:pPr>
      <w:r>
        <w:t xml:space="preserve">total homes in inventory;</w:t>
      </w:r>
    </w:p>
    <w:p>
      <w:pPr>
        <w:pStyle w:val="Compact"/>
        <w:numPr>
          <w:ilvl w:val="0"/>
          <w:numId w:val="1008"/>
        </w:numPr>
      </w:pPr>
      <w:r>
        <w:t xml:space="preserve">unsold homes;</w:t>
      </w:r>
    </w:p>
    <w:p>
      <w:pPr>
        <w:pStyle w:val="Compact"/>
        <w:numPr>
          <w:ilvl w:val="0"/>
          <w:numId w:val="1008"/>
        </w:numPr>
      </w:pPr>
      <w:r>
        <w:t xml:space="preserve">completed and unsold homes;</w:t>
      </w:r>
    </w:p>
    <w:p>
      <w:pPr>
        <w:pStyle w:val="Compact"/>
        <w:numPr>
          <w:ilvl w:val="0"/>
          <w:numId w:val="1008"/>
        </w:numPr>
      </w:pPr>
      <w:r>
        <w:t xml:space="preserve">homes completed more than six months ago; and</w:t>
      </w:r>
    </w:p>
    <w:p>
      <w:pPr>
        <w:pStyle w:val="Compact"/>
        <w:numPr>
          <w:ilvl w:val="0"/>
          <w:numId w:val="1008"/>
        </w:numPr>
      </w:pPr>
      <w:r>
        <w:t xml:space="preserve">Q4 start plans.</w:t>
      </w:r>
    </w:p>
    <w:p>
      <w:pPr>
        <w:pStyle w:val="FirstParagraph"/>
      </w:pPr>
      <w:r>
        <w:t xml:space="preserve">A rise in total inventory is not automatically negative given seasonal volume. A rise in</w:t>
      </w:r>
      <w:r>
        <w:t xml:space="preserve"> </w:t>
      </w:r>
      <w:r>
        <w:rPr>
          <w:b/>
          <w:bCs/>
        </w:rPr>
        <w:t xml:space="preserve">completed unsold inventory</w:t>
      </w:r>
      <w:r>
        <w:t xml:space="preserve">, particularly alongside weaker orders, would be more concerning.</w:t>
      </w:r>
    </w:p>
    <w:bookmarkEnd w:id="20"/>
    <w:bookmarkStart w:id="22" w:name="X814ddad0c36fdc0aff8a42feb605dcdb01f5dba"/>
    <w:p>
      <w:pPr>
        <w:pStyle w:val="Heading3"/>
      </w:pPr>
      <w:r>
        <w:t xml:space="preserve">5. Mortgage rates remain the external swing factor</w:t>
      </w:r>
    </w:p>
    <w:p>
      <w:pPr>
        <w:pStyle w:val="FirstParagraph"/>
      </w:pPr>
      <w:r>
        <w:t xml:space="preserve">The average 30-year fixed mortgage rate was 6.55% on July 16, versus 6.75% a year earlier. While the year-over-year comparison is modestly better, rates remain high enough to keep monthly-payment affordability constrained. Freddie Mac also noted that purchase application demand had recently weakened. (</w:t>
      </w:r>
      <w:hyperlink r:id="rId21">
        <w:r>
          <w:rPr>
            <w:rStyle w:val="Hyperlink"/>
          </w:rPr>
          <w:t xml:space="preserve">freddiemac.com</w:t>
        </w:r>
      </w:hyperlink>
      <w:r>
        <w:t xml:space="preserve">)</w:t>
      </w:r>
    </w:p>
    <w:p>
      <w:pPr>
        <w:pStyle w:val="BodyText"/>
      </w:pPr>
      <w:r>
        <w:t xml:space="preserve">DHI’s scale and captive mortgage platform allow it to address this more effectively than many smaller builders, but not for free. Investors should listen for changes in:</w:t>
      </w:r>
    </w:p>
    <w:p>
      <w:pPr>
        <w:pStyle w:val="Compact"/>
        <w:numPr>
          <w:ilvl w:val="0"/>
          <w:numId w:val="1009"/>
        </w:numPr>
      </w:pPr>
      <w:r>
        <w:t xml:space="preserve">the share of closings receiving a buydown;</w:t>
      </w:r>
    </w:p>
    <w:p>
      <w:pPr>
        <w:pStyle w:val="Compact"/>
        <w:numPr>
          <w:ilvl w:val="0"/>
          <w:numId w:val="1009"/>
        </w:numPr>
      </w:pPr>
      <w:r>
        <w:t xml:space="preserve">the use of adjustable-rate mortgages;</w:t>
      </w:r>
    </w:p>
    <w:p>
      <w:pPr>
        <w:pStyle w:val="Compact"/>
        <w:numPr>
          <w:ilvl w:val="0"/>
          <w:numId w:val="1009"/>
        </w:numPr>
      </w:pPr>
      <w:r>
        <w:t xml:space="preserve">DHI Mortgage capture rate;</w:t>
      </w:r>
    </w:p>
    <w:p>
      <w:pPr>
        <w:pStyle w:val="Compact"/>
        <w:numPr>
          <w:ilvl w:val="0"/>
          <w:numId w:val="1009"/>
        </w:numPr>
      </w:pPr>
      <w:r>
        <w:t xml:space="preserve">financial-services pretax margin; and</w:t>
      </w:r>
    </w:p>
    <w:p>
      <w:pPr>
        <w:pStyle w:val="Compact"/>
        <w:numPr>
          <w:ilvl w:val="0"/>
          <w:numId w:val="1009"/>
        </w:numPr>
      </w:pPr>
      <w:r>
        <w:t xml:space="preserve">the cost of providing advertised mortgage rates.</w:t>
      </w:r>
    </w:p>
    <w:bookmarkEnd w:id="22"/>
    <w:bookmarkEnd w:id="23"/>
    <w:bookmarkStart w:id="24" w:name="capital-allocation-and-balance-sheet"/>
    <w:p>
      <w:pPr>
        <w:pStyle w:val="Heading2"/>
      </w:pPr>
      <w:r>
        <w:t xml:space="preserve">Capital allocation and balance sheet</w:t>
      </w:r>
    </w:p>
    <w:p>
      <w:pPr>
        <w:pStyle w:val="FirstParagraph"/>
      </w:pPr>
      <w:r>
        <w:t xml:space="preserve">The balance sheet remains a key advantage. At the end of Q2, 77% of DHI’s approximately 575,000-lot position was controlled through contracts rather than owned outright, providing flexibility if demand deteriorates. (</w:t>
      </w:r>
      <w:hyperlink r:id="rId14">
        <w:r>
          <w:rPr>
            <w:rStyle w:val="Hyperlink"/>
          </w:rPr>
          <w:t xml:space="preserve">investor.drhorton.com</w:t>
        </w:r>
      </w:hyperlink>
      <w:r>
        <w:t xml:space="preserve">)</w:t>
      </w:r>
    </w:p>
    <w:p>
      <w:pPr>
        <w:pStyle w:val="BodyText"/>
      </w:pPr>
      <w:r>
        <w:t xml:space="preserve">Through the first six months, DHI repurchased 10.4 million shares for $1.6 billion, leaving $1.7 billion on its authorization at March 31. The falling share count should continue to cushion the year-over-year EPS decline. (</w:t>
      </w:r>
      <w:hyperlink r:id="rId14">
        <w:r>
          <w:rPr>
            <w:rStyle w:val="Hyperlink"/>
          </w:rPr>
          <w:t xml:space="preserve">investor.drhorton.com</w:t>
        </w:r>
      </w:hyperlink>
      <w:r>
        <w:t xml:space="preserve">)</w:t>
      </w:r>
    </w:p>
    <w:p>
      <w:pPr>
        <w:pStyle w:val="BodyText"/>
      </w:pPr>
      <w:r>
        <w:t xml:space="preserve">Cash conversion deserves attention, however. Consolidated operating cash flow was only $442 million in the first half because inventory absorbed cash, although the business is seasonally weighted toward stronger second-half generation. To maintain the full-year target, Q3 and Q4 must produce a substantial working-capital release. (</w:t>
      </w:r>
      <w:hyperlink r:id="rId14">
        <w:r>
          <w:rPr>
            <w:rStyle w:val="Hyperlink"/>
          </w:rPr>
          <w:t xml:space="preserve">investor.drhorton.com</w:t>
        </w:r>
      </w:hyperlink>
      <w:r>
        <w:t xml:space="preserve">)</w:t>
      </w:r>
    </w:p>
    <w:bookmarkEnd w:id="24"/>
    <w:bookmarkStart w:id="28" w:name="bull-base-and-bear-interpretations"/>
    <w:p>
      <w:pPr>
        <w:pStyle w:val="Heading2"/>
      </w:pPr>
      <w:r>
        <w:t xml:space="preserve">Bull, base and bear interpretations</w:t>
      </w:r>
    </w:p>
    <w:bookmarkStart w:id="25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0"/>
        </w:numPr>
      </w:pPr>
      <w:r>
        <w:t xml:space="preserve">Revenue and EPS exceed consensus;</w:t>
      </w:r>
    </w:p>
    <w:p>
      <w:pPr>
        <w:pStyle w:val="Compact"/>
        <w:numPr>
          <w:ilvl w:val="0"/>
          <w:numId w:val="1010"/>
        </w:numPr>
      </w:pPr>
      <w:r>
        <w:t xml:space="preserve">closings reach or exceed 24,000;</w:t>
      </w:r>
    </w:p>
    <w:p>
      <w:pPr>
        <w:pStyle w:val="Compact"/>
        <w:numPr>
          <w:ilvl w:val="0"/>
          <w:numId w:val="1010"/>
        </w:numPr>
      </w:pPr>
      <w:r>
        <w:t xml:space="preserve">orders are at least 24,000 with stable cancellations;</w:t>
      </w:r>
    </w:p>
    <w:p>
      <w:pPr>
        <w:pStyle w:val="Compact"/>
        <w:numPr>
          <w:ilvl w:val="0"/>
          <w:numId w:val="1010"/>
        </w:numPr>
      </w:pPr>
      <w:r>
        <w:t xml:space="preserve">normalized gross margin exceeds 20%;</w:t>
      </w:r>
    </w:p>
    <w:p>
      <w:pPr>
        <w:pStyle w:val="Compact"/>
        <w:numPr>
          <w:ilvl w:val="0"/>
          <w:numId w:val="1010"/>
        </w:numPr>
      </w:pPr>
      <w:r>
        <w:t xml:space="preserve">completed-spec inventory remains controlled;</w:t>
      </w:r>
    </w:p>
    <w:p>
      <w:pPr>
        <w:pStyle w:val="Compact"/>
        <w:numPr>
          <w:ilvl w:val="0"/>
          <w:numId w:val="1010"/>
        </w:numPr>
      </w:pPr>
      <w:r>
        <w:t xml:space="preserve">management maintains annual guidance and signals stable-to-better Q4 margins;</w:t>
      </w:r>
    </w:p>
    <w:p>
      <w:pPr>
        <w:pStyle w:val="Compact"/>
        <w:numPr>
          <w:ilvl w:val="0"/>
          <w:numId w:val="1010"/>
        </w:numPr>
      </w:pPr>
      <w:r>
        <w:t xml:space="preserve">buyback and cash-flow targets remain intact.</w:t>
      </w:r>
    </w:p>
    <w:bookmarkEnd w:id="25"/>
    <w:bookmarkStart w:id="26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1"/>
        </w:numPr>
      </w:pPr>
      <w:r>
        <w:t xml:space="preserve">Results land near guidance and consensus;</w:t>
      </w:r>
    </w:p>
    <w:p>
      <w:pPr>
        <w:pStyle w:val="Compact"/>
        <w:numPr>
          <w:ilvl w:val="0"/>
          <w:numId w:val="1011"/>
        </w:numPr>
      </w:pPr>
      <w:r>
        <w:t xml:space="preserve">orders grow modestly year over year;</w:t>
      </w:r>
    </w:p>
    <w:p>
      <w:pPr>
        <w:pStyle w:val="Compact"/>
        <w:numPr>
          <w:ilvl w:val="0"/>
          <w:numId w:val="1011"/>
        </w:numPr>
      </w:pPr>
      <w:r>
        <w:t xml:space="preserve">gross margin is approximately 19.7%–20.0%;</w:t>
      </w:r>
    </w:p>
    <w:p>
      <w:pPr>
        <w:pStyle w:val="Compact"/>
        <w:numPr>
          <w:ilvl w:val="0"/>
          <w:numId w:val="1011"/>
        </w:numPr>
      </w:pPr>
      <w:r>
        <w:t xml:space="preserve">incentives remain around Q2 levels;</w:t>
      </w:r>
    </w:p>
    <w:p>
      <w:pPr>
        <w:pStyle w:val="Compact"/>
        <w:numPr>
          <w:ilvl w:val="0"/>
          <w:numId w:val="1011"/>
        </w:numPr>
      </w:pPr>
      <w:r>
        <w:t xml:space="preserve">full-year guidance is maintained but Q4 commentary remains cautious.</w:t>
      </w:r>
    </w:p>
    <w:p>
      <w:pPr>
        <w:pStyle w:val="FirstParagraph"/>
      </w:pPr>
      <w:r>
        <w:t xml:space="preserve">This would demonstrate strong execution, but not necessarily resolve concerns about the industry’s medium-term earnings power.</w:t>
      </w:r>
    </w:p>
    <w:bookmarkEnd w:id="26"/>
    <w:bookmarkStart w:id="27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2"/>
        </w:numPr>
      </w:pPr>
      <w:r>
        <w:t xml:space="preserve">Orders fall below last year or July demand weakens materially;</w:t>
      </w:r>
    </w:p>
    <w:p>
      <w:pPr>
        <w:pStyle w:val="Compact"/>
        <w:numPr>
          <w:ilvl w:val="0"/>
          <w:numId w:val="1012"/>
        </w:numPr>
      </w:pPr>
      <w:r>
        <w:t xml:space="preserve">gross margin misses the 19.7% floor;</w:t>
      </w:r>
    </w:p>
    <w:p>
      <w:pPr>
        <w:pStyle w:val="Compact"/>
        <w:numPr>
          <w:ilvl w:val="0"/>
          <w:numId w:val="1012"/>
        </w:numPr>
      </w:pPr>
      <w:r>
        <w:t xml:space="preserve">completed unsold inventory begins rising;</w:t>
      </w:r>
    </w:p>
    <w:p>
      <w:pPr>
        <w:pStyle w:val="Compact"/>
        <w:numPr>
          <w:ilvl w:val="0"/>
          <w:numId w:val="1012"/>
        </w:numPr>
      </w:pPr>
      <w:r>
        <w:t xml:space="preserve">management cuts the closing or revenue outlook;</w:t>
      </w:r>
    </w:p>
    <w:p>
      <w:pPr>
        <w:pStyle w:val="Compact"/>
        <w:numPr>
          <w:ilvl w:val="0"/>
          <w:numId w:val="1012"/>
        </w:numPr>
      </w:pPr>
      <w:r>
        <w:t xml:space="preserve">Q4 guidance implies higher incentives and further margin erosion;</w:t>
      </w:r>
    </w:p>
    <w:p>
      <w:pPr>
        <w:pStyle w:val="Compact"/>
        <w:numPr>
          <w:ilvl w:val="0"/>
          <w:numId w:val="1012"/>
        </w:numPr>
      </w:pPr>
      <w:r>
        <w:t xml:space="preserve">operating cash-flow or repurchase guidance is reduced.</w:t>
      </w:r>
    </w:p>
    <w:bookmarkEnd w:id="27"/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DHI appears positioned to deliver Q3 revenue and EPS near expectations. The quarter’s backlog, seasonal closings step-up and aggressive share repurchases provide reasonable visibility.</w:t>
      </w:r>
    </w:p>
    <w:p>
      <w:pPr>
        <w:pStyle w:val="BodyText"/>
      </w:pPr>
      <w:r>
        <w:t xml:space="preserve">The decisive issue is</w:t>
      </w:r>
      <w:r>
        <w:t xml:space="preserve"> </w:t>
      </w:r>
      <w:r>
        <w:rPr>
          <w:b/>
          <w:bCs/>
        </w:rPr>
        <w:t xml:space="preserve">whether the company can defend an approximately 20% home-sales gross margin while continuing to grow orders</w:t>
      </w:r>
      <w:r>
        <w:t xml:space="preserve">. The best outcome is not simply an EPS beat; it is a report showing that construction savings, lower completed inventory and scale are beginning to offset the cost of affordability incentives.</w:t>
      </w:r>
    </w:p>
    <w:p>
      <w:pPr>
        <w:pStyle w:val="BodyText"/>
      </w:pPr>
      <w:r>
        <w:t xml:space="preserve">Accordingly, the most important figures tomorrow are likely to be</w:t>
      </w:r>
      <w:r>
        <w:t xml:space="preserve"> </w:t>
      </w:r>
      <w:r>
        <w:rPr>
          <w:b/>
          <w:bCs/>
        </w:rPr>
        <w:t xml:space="preserve">net orders, normalized gross margin, completed unsold inventory and Q4 guidance</w:t>
      </w:r>
      <w:r>
        <w:t xml:space="preserve">, rather than the headline Q3 revenue number alone.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investor.drhorton.com/news-and-events/press-releases/2025/07-22-2025-110041577?utm_source=openai" TargetMode="External" /><Relationship Type="http://schemas.openxmlformats.org/officeDocument/2006/relationships/hyperlink" Id="rId9" Target="https://investor.drhorton.com/news-and-events/press-releases/2026/05-19-2026-160022273" TargetMode="External" /><Relationship Type="http://schemas.openxmlformats.org/officeDocument/2006/relationships/hyperlink" Id="rId14" Target="https://investor.drhorton.com/~/media/Files/D/D-R-Horton-IR/documents/quarterly-reports/3-31-2026-dhi-10q-final.pdf" TargetMode="External" /><Relationship Type="http://schemas.openxmlformats.org/officeDocument/2006/relationships/hyperlink" Id="rId18" Target="https://investor.drhorton.com/~/media/Files/D/D-R-Horton-IR/press-release/dhi-q2-2026-earnings-release.pdf" TargetMode="External" /><Relationship Type="http://schemas.openxmlformats.org/officeDocument/2006/relationships/hyperlink" Id="rId15" Target="https://investor.drhorton.com/~/media/Files/D/D-R-Horton-IR/reports-and-presentations/dhi-q2-fy-2026-earnings-call-transcript.pdf?utm_source=openai" TargetMode="External" /><Relationship Type="http://schemas.openxmlformats.org/officeDocument/2006/relationships/hyperlink" Id="rId21" Target="https://www.freddiemac.com/pmms" TargetMode="External" /><Relationship Type="http://schemas.openxmlformats.org/officeDocument/2006/relationships/hyperlink" Id="rId11" Target="https://www.tradingview.com/news/zacks%3A2afc9fa16094b%3A0-d-r-horton-s-q3-earnings-preview-what-investors-must-know-no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investor.drhorton.com/news-and-events/press-releases/2025/07-22-2025-110041577?utm_source=openai" TargetMode="External" /><Relationship Type="http://schemas.openxmlformats.org/officeDocument/2006/relationships/hyperlink" Id="rId9" Target="https://investor.drhorton.com/news-and-events/press-releases/2026/05-19-2026-160022273" TargetMode="External" /><Relationship Type="http://schemas.openxmlformats.org/officeDocument/2006/relationships/hyperlink" Id="rId14" Target="https://investor.drhorton.com/~/media/Files/D/D-R-Horton-IR/documents/quarterly-reports/3-31-2026-dhi-10q-final.pdf" TargetMode="External" /><Relationship Type="http://schemas.openxmlformats.org/officeDocument/2006/relationships/hyperlink" Id="rId18" Target="https://investor.drhorton.com/~/media/Files/D/D-R-Horton-IR/press-release/dhi-q2-2026-earnings-release.pdf" TargetMode="External" /><Relationship Type="http://schemas.openxmlformats.org/officeDocument/2006/relationships/hyperlink" Id="rId15" Target="https://investor.drhorton.com/~/media/Files/D/D-R-Horton-IR/reports-and-presentations/dhi-q2-fy-2026-earnings-call-transcript.pdf?utm_source=openai" TargetMode="External" /><Relationship Type="http://schemas.openxmlformats.org/officeDocument/2006/relationships/hyperlink" Id="rId21" Target="https://www.freddiemac.com/pmms" TargetMode="External" /><Relationship Type="http://schemas.openxmlformats.org/officeDocument/2006/relationships/hyperlink" Id="rId11" Target="https://www.tradingview.com/news/zacks%3A2afc9fa16094b%3A0-d-r-horton-s-q3-earnings-preview-what-investors-must-know-no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2026-07-21T00:10:43Z</dcterms:created>
  <dcterms:modified xsi:type="dcterms:W3CDTF">2026-07-21T00:10:43Z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