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4ea8480aefe1c06623349593c9c8f96fe2b933"/>
    <w:p>
      <w:pPr>
        <w:pStyle w:val="Heading1"/>
      </w:pPr>
      <w:r>
        <w:t xml:space="preserve">D.R. Horton (NYSE: DHI) — Fiscal 3Q26 Earnings Preview</w:t>
      </w:r>
    </w:p>
    <w:p>
      <w:pPr>
        <w:pStyle w:val="FirstParagraph"/>
      </w:pPr>
      <w:r>
        <w:rPr>
          <w:b/>
          <w:bCs/>
        </w:rPr>
        <w:t xml:space="preserve">Report date:</w:t>
      </w:r>
      <w:r>
        <w:t xml:space="preserve"> </w:t>
      </w:r>
      <w:r>
        <w:t xml:space="preserve">Tuesday, July 21, 2026, before market open</w:t>
      </w:r>
      <w:r>
        <w:br/>
      </w:r>
      <w:r>
        <w:rPr>
          <w:b/>
          <w:bCs/>
        </w:rPr>
        <w:t xml:space="preserve">Conference call:</w:t>
      </w:r>
      <w:r>
        <w:t xml:space="preserve"> </w:t>
      </w:r>
      <w:r>
        <w:t xml:space="preserve">8:30 a.m. ET</w:t>
      </w:r>
      <w:r>
        <w:br/>
      </w:r>
      <w:r>
        <w:rPr>
          <w:b/>
          <w:bCs/>
        </w:rPr>
        <w:t xml:space="preserve">Quarter ending:</w:t>
      </w:r>
      <w:r>
        <w:t xml:space="preserve"> </w:t>
      </w:r>
      <w:r>
        <w:t xml:space="preserve">June 30, 2026</w:t>
      </w:r>
      <w:r>
        <w:br/>
      </w:r>
      <w:r>
        <w:rPr>
          <w:b/>
          <w:bCs/>
        </w:rPr>
        <w:t xml:space="preserve">Data cut:</w:t>
      </w:r>
      <w:r>
        <w:t xml:space="preserve"> </w:t>
      </w:r>
      <w:r>
        <w:t xml:space="preserve">July 20, 2026 close</w:t>
      </w:r>
    </w:p>
    <w:bookmarkStart w:id="9" w:name="preview-in-one-sentence"/>
    <w:p>
      <w:pPr>
        <w:pStyle w:val="Heading2"/>
      </w:pPr>
      <w:r>
        <w:t xml:space="preserve">Preview in one sentence</w:t>
      </w:r>
    </w:p>
    <w:p>
      <w:pPr>
        <w:pStyle w:val="FirstParagraph"/>
      </w:pPr>
      <w:r>
        <w:t xml:space="preserve">DHI’s 3Q report is principally a test of whether it can</w:t>
      </w:r>
      <w:r>
        <w:t xml:space="preserve"> </w:t>
      </w:r>
      <w:r>
        <w:rPr>
          <w:b/>
          <w:bCs/>
        </w:rPr>
        <w:t xml:space="preserve">convert solid spring order demand into guided closings and stable margins without increasing incentives</w:t>
      </w:r>
      <w:r>
        <w:t xml:space="preserve">, while preserving its full-year volume, cash-flow, and shareholder-return outlook in an affordability-constrained housing market.</w:t>
      </w:r>
    </w:p>
    <w:bookmarkEnd w:id="9"/>
    <w:bookmarkStart w:id="10" w:name="why-this-print-matters"/>
    <w:p>
      <w:pPr>
        <w:pStyle w:val="Heading2"/>
      </w:pPr>
      <w:r>
        <w:t xml:space="preserve">Why this print matters</w:t>
      </w:r>
    </w:p>
    <w:p>
      <w:pPr>
        <w:pStyle w:val="FirstParagraph"/>
      </w:pPr>
      <w:r>
        <w:t xml:space="preserve">D.R. Horton entered the quarter with a notably constructive setup operationally—but not an easy macro backdrop:</w:t>
      </w:r>
    </w:p>
    <w:p>
      <w:pPr>
        <w:pStyle w:val="Compact"/>
        <w:numPr>
          <w:ilvl w:val="0"/>
          <w:numId w:val="1001"/>
        </w:numPr>
      </w:pPr>
      <w:r>
        <w:rPr>
          <w:b/>
          <w:bCs/>
        </w:rPr>
        <w:t xml:space="preserve">Orders recovered:</w:t>
      </w:r>
      <w:r>
        <w:t xml:space="preserve"> </w:t>
      </w:r>
      <w:r>
        <w:t xml:space="preserve">Fiscal 2Q net orders rose</w:t>
      </w:r>
      <w:r>
        <w:t xml:space="preserve"> </w:t>
      </w:r>
      <w:r>
        <w:rPr>
          <w:b/>
          <w:bCs/>
        </w:rPr>
        <w:t xml:space="preserve">11% year over year</w:t>
      </w:r>
      <w:r>
        <w:t xml:space="preserve"> </w:t>
      </w:r>
      <w:r>
        <w:t xml:space="preserve">to</w:t>
      </w:r>
      <w:r>
        <w:t xml:space="preserve"> </w:t>
      </w:r>
      <w:r>
        <w:rPr>
          <w:b/>
          <w:bCs/>
        </w:rPr>
        <w:t xml:space="preserve">24,992 homes</w:t>
      </w:r>
      <w:r>
        <w:t xml:space="preserve">, matching the</w:t>
      </w:r>
      <w:r>
        <w:t xml:space="preserve"> </w:t>
      </w:r>
      <w:r>
        <w:rPr>
          <w:b/>
          <w:bCs/>
        </w:rPr>
        <w:t xml:space="preserve">11% increase in average active communities</w:t>
      </w:r>
      <w:r>
        <w:t xml:space="preserve">. That implies stable absorption rather than a demand surge, but it is still evidence that Horton’s affordability-oriented product and incentives are supporting share.</w:t>
      </w:r>
    </w:p>
    <w:p>
      <w:pPr>
        <w:pStyle w:val="Compact"/>
        <w:numPr>
          <w:ilvl w:val="0"/>
          <w:numId w:val="1001"/>
        </w:numPr>
      </w:pPr>
      <w:r>
        <w:rPr>
          <w:b/>
          <w:bCs/>
        </w:rPr>
        <w:t xml:space="preserve">Margins held better than feared:</w:t>
      </w:r>
      <w:r>
        <w:t xml:space="preserve"> </w:t>
      </w:r>
      <w:r>
        <w:t xml:space="preserve">Fiscal 2Q reported home-sales gross margin was</w:t>
      </w:r>
      <w:r>
        <w:t xml:space="preserve"> </w:t>
      </w:r>
      <w:r>
        <w:rPr>
          <w:b/>
          <w:bCs/>
        </w:rPr>
        <w:t xml:space="preserve">20.1%</w:t>
      </w:r>
      <w:r>
        <w:t xml:space="preserve">, including a 40-basis-point benefit from lower warranty costs and favorable litigation. On a normalized basis, margin was</w:t>
      </w:r>
      <w:r>
        <w:t xml:space="preserve"> </w:t>
      </w:r>
      <w:r>
        <w:rPr>
          <w:b/>
          <w:bCs/>
        </w:rPr>
        <w:t xml:space="preserve">19.7%</w:t>
      </w:r>
      <w:r>
        <w:t xml:space="preserve">, above the company’s prior guided range.</w:t>
      </w:r>
    </w:p>
    <w:p>
      <w:pPr>
        <w:pStyle w:val="Compact"/>
        <w:numPr>
          <w:ilvl w:val="0"/>
          <w:numId w:val="1001"/>
        </w:numPr>
      </w:pPr>
      <w:r>
        <w:rPr>
          <w:b/>
          <w:bCs/>
        </w:rPr>
        <w:t xml:space="preserve">Inventory quality improved:</w:t>
      </w:r>
      <w:r>
        <w:t xml:space="preserve"> </w:t>
      </w:r>
      <w:r>
        <w:t xml:space="preserve">Unsold completed homes fell</w:t>
      </w:r>
      <w:r>
        <w:t xml:space="preserve"> </w:t>
      </w:r>
      <w:r>
        <w:rPr>
          <w:b/>
          <w:bCs/>
        </w:rPr>
        <w:t xml:space="preserve">35% year over year</w:t>
      </w:r>
      <w:r>
        <w:t xml:space="preserve"> </w:t>
      </w:r>
      <w:r>
        <w:t xml:space="preserve">to</w:t>
      </w:r>
      <w:r>
        <w:t xml:space="preserve"> </w:t>
      </w:r>
      <w:r>
        <w:rPr>
          <w:b/>
          <w:bCs/>
        </w:rPr>
        <w:t xml:space="preserve">5,500</w:t>
      </w:r>
      <w:r>
        <w:t xml:space="preserve">, reducing the need for late-stage discounting and improving flexibility around pricing, incentives, and starts.</w:t>
      </w:r>
    </w:p>
    <w:p>
      <w:pPr>
        <w:pStyle w:val="Compact"/>
        <w:numPr>
          <w:ilvl w:val="0"/>
          <w:numId w:val="1001"/>
        </w:numPr>
      </w:pPr>
      <w:r>
        <w:rPr>
          <w:b/>
          <w:bCs/>
        </w:rPr>
        <w:t xml:space="preserve">The stock has already been volatile:</w:t>
      </w:r>
      <w:r>
        <w:t xml:space="preserve"> </w:t>
      </w:r>
      <w:r>
        <w:t xml:space="preserve">DHI closed at</w:t>
      </w:r>
      <w:r>
        <w:t xml:space="preserve"> </w:t>
      </w:r>
      <w:r>
        <w:rPr>
          <w:b/>
          <w:bCs/>
        </w:rPr>
        <w:t xml:space="preserve">$144.82 on July 20</w:t>
      </w:r>
      <w:r>
        <w:t xml:space="preserve">, down about</w:t>
      </w:r>
      <w:r>
        <w:t xml:space="preserve"> </w:t>
      </w:r>
      <w:r>
        <w:rPr>
          <w:b/>
          <w:bCs/>
        </w:rPr>
        <w:t xml:space="preserve">5.6%</w:t>
      </w:r>
      <w:r>
        <w:t xml:space="preserve"> </w:t>
      </w:r>
      <w:r>
        <w:t xml:space="preserve">from April 20; that slightly lagged the homebuilder ETF (ITB, down about 4.6%) and contrasted with the S&amp;P 500’s roughly 4.7% gain over the same period.</w:t>
      </w:r>
    </w:p>
    <w:p>
      <w:pPr>
        <w:pStyle w:val="FirstParagraph"/>
      </w:pPr>
      <w:r>
        <w:t xml:space="preserve">The result: investors are likely less focused on whether DHI simply meets quarterly earnings guidance, and more focused on</w:t>
      </w:r>
      <w:r>
        <w:t xml:space="preserve"> </w:t>
      </w:r>
      <w:r>
        <w:rPr>
          <w:b/>
          <w:bCs/>
        </w:rPr>
        <w:t xml:space="preserve">orders, incentives, gross-margin durability, inventory, and the credibility of FY26 guidance</w:t>
      </w:r>
      <w:r>
        <w:t xml:space="preserve">.</w:t>
      </w:r>
    </w:p>
    <w:p>
      <w:r>
        <w:pict>
          <v:rect style="width:0;height:1.5pt" o:hralign="center" o:hrstd="t" o:hr="t"/>
        </w:pict>
      </w:r>
    </w:p>
    <w:bookmarkEnd w:id="10"/>
    <w:bookmarkStart w:id="12" w:name="what-dhi-has-guided-for-3q26"/>
    <w:p>
      <w:pPr>
        <w:pStyle w:val="Heading2"/>
      </w:pPr>
      <w:r>
        <w:t xml:space="preserve">What DHI has guided for 3Q26</w:t>
      </w:r>
    </w:p>
    <w:p>
      <w:pPr>
        <w:pStyle w:val="FirstParagraph"/>
      </w:pPr>
      <w:r>
        <w:t xml:space="preserve">Management’s April outlook provides a clear operating framework for the June quarter: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3Q26 guidance</w:t>
            </w:r>
          </w:p>
        </w:tc>
      </w:tr>
      <w:tr>
        <w:tc>
          <w:tcPr/>
          <w:p>
            <w:pPr>
              <w:pStyle w:val="Compact"/>
            </w:pPr>
            <w:r>
              <w:t xml:space="preserve">Consolidated revenue</w:t>
            </w:r>
          </w:p>
        </w:tc>
        <w:tc>
          <w:tcPr/>
          <w:p>
            <w:pPr>
              <w:pStyle w:val="Compact"/>
              <w:jc w:val="right"/>
            </w:pPr>
            <m:oMath>
              <m:r>
                <m:t>8.8</m:t>
              </m:r>
              <m:r>
                <m:t>B</m:t>
              </m:r>
              <m:r>
                <m:rPr>
                  <m:sty m:val="p"/>
                </m:rPr>
                <m:t>–</m:t>
              </m:r>
            </m:oMath>
            <w:r>
              <w:rPr>
                <w:b/>
                <w:bCs/>
              </w:rPr>
              <w:t xml:space="preserve">9.3B</w:t>
            </w:r>
          </w:p>
        </w:tc>
      </w:tr>
      <w:tr>
        <w:tc>
          <w:tcPr/>
          <w:p>
            <w:pPr>
              <w:pStyle w:val="Compact"/>
            </w:pPr>
            <w:r>
              <w:t xml:space="preserve">Homebuilding closings</w:t>
            </w:r>
          </w:p>
        </w:tc>
        <w:tc>
          <w:tcPr/>
          <w:p>
            <w:pPr>
              <w:pStyle w:val="Compact"/>
              <w:jc w:val="right"/>
            </w:pPr>
            <w:r>
              <w:rPr>
                <w:b/>
                <w:bCs/>
              </w:rPr>
              <w:t xml:space="preserve">23,500–24,000 homes</w:t>
            </w:r>
          </w:p>
        </w:tc>
      </w:tr>
      <w:tr>
        <w:tc>
          <w:tcPr/>
          <w:p>
            <w:pPr>
              <w:pStyle w:val="Compact"/>
            </w:pPr>
            <w:r>
              <w:t xml:space="preserve">Home-sales gross margin</w:t>
            </w:r>
          </w:p>
        </w:tc>
        <w:tc>
          <w:tcPr/>
          <w:p>
            <w:pPr>
              <w:pStyle w:val="Compact"/>
              <w:jc w:val="right"/>
            </w:pPr>
            <w:r>
              <w:rPr>
                <w:b/>
                <w:bCs/>
              </w:rPr>
              <w:t xml:space="preserve">19.7%–20.2%</w:t>
            </w:r>
          </w:p>
        </w:tc>
      </w:tr>
      <w:tr>
        <w:tc>
          <w:tcPr/>
          <w:p>
            <w:pPr>
              <w:pStyle w:val="Compact"/>
            </w:pPr>
            <w:r>
              <w:t xml:space="preserve">Consolidated pre-tax margin</w:t>
            </w:r>
          </w:p>
        </w:tc>
        <w:tc>
          <w:tcPr/>
          <w:p>
            <w:pPr>
              <w:pStyle w:val="Compact"/>
              <w:jc w:val="right"/>
            </w:pPr>
            <w:r>
              <w:rPr>
                <w:b/>
                <w:bCs/>
              </w:rPr>
              <w:t xml:space="preserve">12.2%–12.7%</w:t>
            </w:r>
          </w:p>
        </w:tc>
      </w:tr>
      <w:tr>
        <w:tc>
          <w:tcPr/>
          <w:p>
            <w:pPr>
              <w:pStyle w:val="Compact"/>
            </w:pPr>
            <w:r>
              <w:t xml:space="preserve">Fiscal-year revenue</w:t>
            </w:r>
          </w:p>
        </w:tc>
        <w:tc>
          <w:tcPr/>
          <w:p>
            <w:pPr>
              <w:pStyle w:val="Compact"/>
              <w:jc w:val="right"/>
            </w:pPr>
            <m:oMath>
              <m:r>
                <m:t>33.5</m:t>
              </m:r>
              <m:r>
                <m:t>B</m:t>
              </m:r>
              <m:r>
                <m:rPr>
                  <m:sty m:val="p"/>
                </m:rPr>
                <m:t>–</m:t>
              </m:r>
            </m:oMath>
            <w:r>
              <w:rPr>
                <w:b/>
                <w:bCs/>
              </w:rPr>
              <w:t xml:space="preserve">34.5B</w:t>
            </w:r>
          </w:p>
        </w:tc>
      </w:tr>
      <w:tr>
        <w:tc>
          <w:tcPr/>
          <w:p>
            <w:pPr>
              <w:pStyle w:val="Compact"/>
            </w:pPr>
            <w:r>
              <w:t xml:space="preserve">Fiscal-year homebuilding closings</w:t>
            </w:r>
          </w:p>
        </w:tc>
        <w:tc>
          <w:tcPr/>
          <w:p>
            <w:pPr>
              <w:pStyle w:val="Compact"/>
              <w:jc w:val="right"/>
            </w:pPr>
            <w:r>
              <w:rPr>
                <w:b/>
                <w:bCs/>
              </w:rPr>
              <w:t xml:space="preserve">86,000–87,500 homes</w:t>
            </w:r>
          </w:p>
        </w:tc>
      </w:tr>
      <w:tr>
        <w:tc>
          <w:tcPr/>
          <w:p>
            <w:pPr>
              <w:pStyle w:val="Compact"/>
            </w:pPr>
            <w:r>
              <w:t xml:space="preserve">FY26 operating cash flow</w:t>
            </w:r>
          </w:p>
        </w:tc>
        <w:tc>
          <w:tcPr/>
          <w:p>
            <w:pPr>
              <w:pStyle w:val="Compact"/>
              <w:jc w:val="right"/>
            </w:pPr>
            <w:r>
              <w:rPr>
                <w:b/>
                <w:bCs/>
              </w:rPr>
              <w:t xml:space="preserve">At least $3.0B</w:t>
            </w:r>
          </w:p>
        </w:tc>
      </w:tr>
      <w:tr>
        <w:tc>
          <w:tcPr/>
          <w:p>
            <w:pPr>
              <w:pStyle w:val="Compact"/>
            </w:pPr>
            <w:r>
              <w:t xml:space="preserve">FY26 share repurchases</w:t>
            </w:r>
          </w:p>
        </w:tc>
        <w:tc>
          <w:tcPr/>
          <w:p>
            <w:pPr>
              <w:pStyle w:val="Compact"/>
              <w:jc w:val="right"/>
            </w:pPr>
            <w:r>
              <w:rPr>
                <w:b/>
                <w:bCs/>
              </w:rPr>
              <w:t xml:space="preserve">Approximately $2.5B</w:t>
            </w:r>
          </w:p>
        </w:tc>
      </w:tr>
      <w:tr>
        <w:tc>
          <w:tcPr/>
          <w:p>
            <w:pPr>
              <w:pStyle w:val="Compact"/>
            </w:pPr>
            <w:r>
              <w:t xml:space="preserve">FY26 dividends</w:t>
            </w:r>
          </w:p>
        </w:tc>
        <w:tc>
          <w:tcPr/>
          <w:p>
            <w:pPr>
              <w:pStyle w:val="Compact"/>
              <w:jc w:val="right"/>
            </w:pPr>
            <w:r>
              <w:rPr>
                <w:b/>
                <w:bCs/>
              </w:rPr>
              <w:t xml:space="preserve">Approximately $500M</w:t>
            </w:r>
          </w:p>
        </w:tc>
      </w:tr>
    </w:tbl>
    <w:p>
      <w:pPr>
        <w:pStyle w:val="BodyText"/>
      </w:pPr>
      <w:r>
        <w:t xml:space="preserve">At the midpoint, the quarterly revenue and pre-tax-margin guidance imply roughly</w:t>
      </w:r>
      <w:r>
        <w:t xml:space="preserve"> </w:t>
      </w:r>
      <w:r>
        <w:rPr>
          <w:b/>
          <w:bCs/>
        </w:rPr>
        <w:t xml:space="preserve">$1.13 billion of consolidated pre-tax income</w:t>
      </w:r>
      <w:r>
        <w:t xml:space="preserve"> </w:t>
      </w:r>
      <w:r>
        <w:t xml:space="preserve">before considering the exact mix of segment income, taxes, and noncontrolling interests.</w:t>
      </w:r>
    </w:p>
    <w:bookmarkStart w:id="11" w:name="the-most-important-implication"/>
    <w:p>
      <w:pPr>
        <w:pStyle w:val="Heading3"/>
      </w:pPr>
      <w:r>
        <w:t xml:space="preserve">The most important implication</w:t>
      </w:r>
    </w:p>
    <w:p>
      <w:pPr>
        <w:pStyle w:val="FirstParagraph"/>
      </w:pPr>
      <w:r>
        <w:t xml:space="preserve">The guided pre-tax margin of</w:t>
      </w:r>
      <w:r>
        <w:t xml:space="preserve"> </w:t>
      </w:r>
      <w:r>
        <w:rPr>
          <w:b/>
          <w:bCs/>
        </w:rPr>
        <w:t xml:space="preserve">12.2%–12.7%</w:t>
      </w:r>
      <w:r>
        <w:t xml:space="preserve"> </w:t>
      </w:r>
      <w:r>
        <w:t xml:space="preserve">is meaningfully higher than 2Q’s</w:t>
      </w:r>
      <w:r>
        <w:t xml:space="preserve"> </w:t>
      </w:r>
      <w:r>
        <w:rPr>
          <w:b/>
          <w:bCs/>
        </w:rPr>
        <w:t xml:space="preserve">11.5%</w:t>
      </w:r>
      <w:r>
        <w:t xml:space="preserve">. That expected sequential improvement rests on:</w:t>
      </w:r>
    </w:p>
    <w:p>
      <w:pPr>
        <w:pStyle w:val="Compact"/>
        <w:numPr>
          <w:ilvl w:val="0"/>
          <w:numId w:val="1002"/>
        </w:numPr>
      </w:pPr>
      <w:r>
        <w:t xml:space="preserve">higher closings and revenues;</w:t>
      </w:r>
    </w:p>
    <w:p>
      <w:pPr>
        <w:pStyle w:val="Compact"/>
        <w:numPr>
          <w:ilvl w:val="0"/>
          <w:numId w:val="1002"/>
        </w:numPr>
      </w:pPr>
      <w:r>
        <w:t xml:space="preserve">improved SG&amp;A absorption;</w:t>
      </w:r>
    </w:p>
    <w:p>
      <w:pPr>
        <w:pStyle w:val="Compact"/>
        <w:numPr>
          <w:ilvl w:val="0"/>
          <w:numId w:val="1002"/>
        </w:numPr>
      </w:pPr>
      <w:r>
        <w:t xml:space="preserve">continued benefits from lower stick-and-brick construction costs; and</w:t>
      </w:r>
    </w:p>
    <w:p>
      <w:pPr>
        <w:pStyle w:val="Compact"/>
        <w:numPr>
          <w:ilvl w:val="0"/>
          <w:numId w:val="1002"/>
        </w:numPr>
      </w:pPr>
      <w:r>
        <w:t xml:space="preserve">no material deterioration in incentives.</w:t>
      </w:r>
    </w:p>
    <w:p>
      <w:pPr>
        <w:pStyle w:val="FirstParagraph"/>
      </w:pPr>
      <w:r>
        <w:t xml:space="preserve">Therefore, a revenue miss could matter disproportionately: it would pressure both operating leverage and margins.</w:t>
      </w:r>
    </w:p>
    <w:p>
      <w:r>
        <w:pict>
          <v:rect style="width:0;height:1.5pt" o:hralign="center" o:hrstd="t" o:hr="t"/>
        </w:pict>
      </w:r>
    </w:p>
    <w:bookmarkEnd w:id="11"/>
    <w:bookmarkEnd w:id="12"/>
    <w:bookmarkStart w:id="14" w:name="X76a5f1f1ef67adde6ac4d91e03e7e4758d8f40e"/>
    <w:p>
      <w:pPr>
        <w:pStyle w:val="Heading2"/>
      </w:pPr>
      <w:r>
        <w:t xml:space="preserve">The key debate: can DHI hold margins while still buying demand?</w:t>
      </w:r>
    </w:p>
    <w:p>
      <w:pPr>
        <w:pStyle w:val="FirstParagraph"/>
      </w:pPr>
      <w:r>
        <w:t xml:space="preserve">The core housing debate has not changed. Affordability remains difficult, and DHI is using incentives aggressively to maintain sales pace.</w:t>
      </w:r>
    </w:p>
    <w:p>
      <w:pPr>
        <w:pStyle w:val="BodyText"/>
      </w:pPr>
      <w:r>
        <w:t xml:space="preserve">In 2Q:</w:t>
      </w:r>
    </w:p>
    <w:p>
      <w:pPr>
        <w:pStyle w:val="Compact"/>
        <w:numPr>
          <w:ilvl w:val="0"/>
          <w:numId w:val="1003"/>
        </w:numPr>
      </w:pPr>
      <w:r>
        <w:t xml:space="preserve">Incentives were roughly</w:t>
      </w:r>
      <w:r>
        <w:t xml:space="preserve"> </w:t>
      </w:r>
      <w:r>
        <w:rPr>
          <w:b/>
          <w:bCs/>
        </w:rPr>
        <w:t xml:space="preserve">10% of home-sales revenue</w:t>
      </w:r>
      <w:r>
        <w:t xml:space="preserve">.</w:t>
      </w:r>
    </w:p>
    <w:p>
      <w:pPr>
        <w:pStyle w:val="Compact"/>
        <w:numPr>
          <w:ilvl w:val="0"/>
          <w:numId w:val="1003"/>
        </w:numPr>
      </w:pPr>
      <w:r>
        <w:t xml:space="preserve">Approximately</w:t>
      </w:r>
      <w:r>
        <w:t xml:space="preserve"> </w:t>
      </w:r>
      <w:r>
        <w:rPr>
          <w:b/>
          <w:bCs/>
        </w:rPr>
        <w:t xml:space="preserve">73% of total closings</w:t>
      </w:r>
      <w:r>
        <w:t xml:space="preserve"> </w:t>
      </w:r>
      <w:r>
        <w:t xml:space="preserve">received some form of mortgage buydown.</w:t>
      </w:r>
    </w:p>
    <w:p>
      <w:pPr>
        <w:pStyle w:val="Compact"/>
        <w:numPr>
          <w:ilvl w:val="0"/>
          <w:numId w:val="1003"/>
        </w:numPr>
      </w:pPr>
      <w:r>
        <w:t xml:space="preserve">Among buyers using DHI Mortgage, about</w:t>
      </w:r>
      <w:r>
        <w:t xml:space="preserve"> </w:t>
      </w:r>
      <w:r>
        <w:rPr>
          <w:b/>
          <w:bCs/>
        </w:rPr>
        <w:t xml:space="preserve">90%</w:t>
      </w:r>
      <w:r>
        <w:t xml:space="preserve"> </w:t>
      </w:r>
      <w:r>
        <w:t xml:space="preserve">received a permanent and/or temporary buydown.</w:t>
      </w:r>
    </w:p>
    <w:p>
      <w:pPr>
        <w:pStyle w:val="Compact"/>
        <w:numPr>
          <w:ilvl w:val="0"/>
          <w:numId w:val="1003"/>
        </w:numPr>
      </w:pPr>
      <w:r>
        <w:t xml:space="preserve">Adjustable-rate mortgages were approximately</w:t>
      </w:r>
      <w:r>
        <w:t xml:space="preserve"> </w:t>
      </w:r>
      <w:r>
        <w:rPr>
          <w:b/>
          <w:bCs/>
        </w:rPr>
        <w:t xml:space="preserve">10%</w:t>
      </w:r>
      <w:r>
        <w:t xml:space="preserve"> </w:t>
      </w:r>
      <w:r>
        <w:t xml:space="preserve">of mortgage-company closings, versus essentially zero a year earlier.</w:t>
      </w:r>
    </w:p>
    <w:p>
      <w:pPr>
        <w:pStyle w:val="Compact"/>
        <w:numPr>
          <w:ilvl w:val="0"/>
          <w:numId w:val="1003"/>
        </w:numPr>
      </w:pPr>
      <w:r>
        <w:t xml:space="preserve">Management expects incentives to remain elevated through the remainder of FY26, with the level dependent on demand and mortgage rates.</w:t>
      </w:r>
    </w:p>
    <w:p>
      <w:pPr>
        <w:pStyle w:val="FirstParagraph"/>
      </w:pPr>
      <w:r>
        <w:t xml:space="preserve">That makes the 3Q gross-margin result especially important. A result within the</w:t>
      </w:r>
      <w:r>
        <w:t xml:space="preserve"> </w:t>
      </w:r>
      <w:r>
        <w:rPr>
          <w:b/>
          <w:bCs/>
        </w:rPr>
        <w:t xml:space="preserve">19.7%–20.2%</w:t>
      </w:r>
      <w:r>
        <w:t xml:space="preserve"> </w:t>
      </w:r>
      <w:r>
        <w:t xml:space="preserve">guided range would demonstrate that lower construction costs and faster cycle times are offsetting higher lot costs and persistent buyer incentives. A downside miss would raise concern that the incentive burden is rising faster than cost savings.</w:t>
      </w:r>
    </w:p>
    <w:bookmarkStart w:id="13" w:name="X5fc66678f7c77d013f3e6dad7bb1d8d8b42cbba"/>
    <w:p>
      <w:pPr>
        <w:pStyle w:val="Heading3"/>
      </w:pPr>
      <w:r>
        <w:t xml:space="preserve">Margin nuance investors should keep in mind</w:t>
      </w:r>
    </w:p>
    <w:p>
      <w:pPr>
        <w:pStyle w:val="FirstParagraph"/>
      </w:pPr>
      <w:r>
        <w:t xml:space="preserve">The 2Q reported gross margin benefited by 40 basis points from unusually favorable warranty and litigation items. Management characterized those as one-off benefits and indicated that warranty/litigation costs would normally be a</w:t>
      </w:r>
      <w:r>
        <w:t xml:space="preserve"> </w:t>
      </w:r>
      <w:r>
        <w:rPr>
          <w:b/>
          <w:bCs/>
        </w:rPr>
        <w:t xml:space="preserve">40–50 basis point headwind</w:t>
      </w:r>
      <w:r>
        <w:t xml:space="preserve"> </w:t>
      </w:r>
      <w:r>
        <w:t xml:space="preserve">in a typical quarter.</w:t>
      </w:r>
    </w:p>
    <w:p>
      <w:pPr>
        <w:pStyle w:val="BodyText"/>
      </w:pPr>
      <w:r>
        <w:t xml:space="preserve">Thus, the appropriate comparison is not simply 3Q gross margin versus the reported 20.1% in 2Q. The more relevant benchmark is the</w:t>
      </w:r>
      <w:r>
        <w:t xml:space="preserve"> </w:t>
      </w:r>
      <w:r>
        <w:rPr>
          <w:b/>
          <w:bCs/>
        </w:rPr>
        <w:t xml:space="preserve">normalized 19.7%</w:t>
      </w:r>
      <w:r>
        <w:t xml:space="preserve"> </w:t>
      </w:r>
      <w:r>
        <w:t xml:space="preserve">margin in 2Q. Holding or modestly exceeding that level in 3Q would be a favorable outcome.</w:t>
      </w:r>
    </w:p>
    <w:p>
      <w:r>
        <w:pict>
          <v:rect style="width:0;height:1.5pt" o:hralign="center" o:hrstd="t" o:hr="t"/>
        </w:pict>
      </w:r>
    </w:p>
    <w:bookmarkEnd w:id="13"/>
    <w:bookmarkEnd w:id="14"/>
    <w:bookmarkStart w:id="17" w:name="Xf762de0bd29cfc7f60ea2e3c2e35f815adc2406"/>
    <w:p>
      <w:pPr>
        <w:pStyle w:val="Heading2"/>
      </w:pPr>
      <w:r>
        <w:t xml:space="preserve">Orders: the real read-through for the second half and FY27</w:t>
      </w:r>
    </w:p>
    <w:p>
      <w:pPr>
        <w:pStyle w:val="FirstParagraph"/>
      </w:pPr>
      <w:r>
        <w:t xml:space="preserve">Although closings and margins will drive the headline financial result,</w:t>
      </w:r>
      <w:r>
        <w:t xml:space="preserve"> </w:t>
      </w:r>
      <w:r>
        <w:rPr>
          <w:b/>
          <w:bCs/>
        </w:rPr>
        <w:t xml:space="preserve">net orders, cancellation rates, order ASP, and incentive trends</w:t>
      </w:r>
      <w:r>
        <w:t xml:space="preserve"> </w:t>
      </w:r>
      <w:r>
        <w:t xml:space="preserve">will likely determine the stock’s reaction.</w:t>
      </w:r>
    </w:p>
    <w:bookmarkStart w:id="15" w:name="what-worked-in-2q"/>
    <w:p>
      <w:pPr>
        <w:pStyle w:val="Heading3"/>
      </w:pPr>
      <w:r>
        <w:t xml:space="preserve">What worked in 2Q</w:t>
      </w:r>
    </w:p>
    <w:p>
      <w:pPr>
        <w:pStyle w:val="FirstParagraph"/>
      </w:pPr>
      <w:r>
        <w:t xml:space="preserve">DHI’s 11% order growth was broad:</w:t>
      </w:r>
    </w:p>
    <w:p>
      <w:pPr>
        <w:pStyle w:val="Compact"/>
        <w:numPr>
          <w:ilvl w:val="0"/>
          <w:numId w:val="1004"/>
        </w:numPr>
      </w:pPr>
      <w:r>
        <w:rPr>
          <w:b/>
          <w:bCs/>
        </w:rPr>
        <w:t xml:space="preserve">North:</w:t>
      </w:r>
      <w:r>
        <w:t xml:space="preserve"> </w:t>
      </w:r>
      <w:r>
        <w:t xml:space="preserve">orders up roughly 22% year over year.</w:t>
      </w:r>
    </w:p>
    <w:p>
      <w:pPr>
        <w:pStyle w:val="Compact"/>
        <w:numPr>
          <w:ilvl w:val="0"/>
          <w:numId w:val="1004"/>
        </w:numPr>
      </w:pPr>
      <w:r>
        <w:rPr>
          <w:b/>
          <w:bCs/>
        </w:rPr>
        <w:t xml:space="preserve">South Central:</w:t>
      </w:r>
      <w:r>
        <w:t xml:space="preserve"> </w:t>
      </w:r>
      <w:r>
        <w:t xml:space="preserve">up roughly 14%.</w:t>
      </w:r>
    </w:p>
    <w:p>
      <w:pPr>
        <w:pStyle w:val="Compact"/>
        <w:numPr>
          <w:ilvl w:val="0"/>
          <w:numId w:val="1004"/>
        </w:numPr>
      </w:pPr>
      <w:r>
        <w:rPr>
          <w:b/>
          <w:bCs/>
        </w:rPr>
        <w:t xml:space="preserve">Southwest:</w:t>
      </w:r>
      <w:r>
        <w:t xml:space="preserve"> </w:t>
      </w:r>
      <w:r>
        <w:t xml:space="preserve">up roughly 12%.</w:t>
      </w:r>
    </w:p>
    <w:p>
      <w:pPr>
        <w:pStyle w:val="Compact"/>
        <w:numPr>
          <w:ilvl w:val="0"/>
          <w:numId w:val="1004"/>
        </w:numPr>
      </w:pPr>
      <w:r>
        <w:rPr>
          <w:b/>
          <w:bCs/>
        </w:rPr>
        <w:t xml:space="preserve">Southeast:</w:t>
      </w:r>
      <w:r>
        <w:t xml:space="preserve"> </w:t>
      </w:r>
      <w:r>
        <w:t xml:space="preserve">up roughly 11%.</w:t>
      </w:r>
    </w:p>
    <w:p>
      <w:pPr>
        <w:pStyle w:val="Compact"/>
        <w:numPr>
          <w:ilvl w:val="0"/>
          <w:numId w:val="1004"/>
        </w:numPr>
      </w:pPr>
      <w:r>
        <w:rPr>
          <w:b/>
          <w:bCs/>
        </w:rPr>
        <w:t xml:space="preserve">East:</w:t>
      </w:r>
      <w:r>
        <w:t xml:space="preserve"> </w:t>
      </w:r>
      <w:r>
        <w:t xml:space="preserve">up roughly 8%.</w:t>
      </w:r>
    </w:p>
    <w:p>
      <w:pPr>
        <w:pStyle w:val="Compact"/>
        <w:numPr>
          <w:ilvl w:val="0"/>
          <w:numId w:val="1004"/>
        </w:numPr>
      </w:pPr>
      <w:r>
        <w:rPr>
          <w:b/>
          <w:bCs/>
        </w:rPr>
        <w:t xml:space="preserve">Northwest:</w:t>
      </w:r>
      <w:r>
        <w:t xml:space="preserve"> </w:t>
      </w:r>
      <w:r>
        <w:t xml:space="preserve">the notable exception, with orders down year over year.</w:t>
      </w:r>
    </w:p>
    <w:p>
      <w:pPr>
        <w:pStyle w:val="FirstParagraph"/>
      </w:pPr>
      <w:r>
        <w:t xml:space="preserve">DHI also reported that 2Q demand followed normal seasonal patterns and that April trends were constructive at the time of the April call. Cancellations were</w:t>
      </w:r>
      <w:r>
        <w:t xml:space="preserve"> </w:t>
      </w:r>
      <w:r>
        <w:rPr>
          <w:b/>
          <w:bCs/>
        </w:rPr>
        <w:t xml:space="preserve">16%</w:t>
      </w:r>
      <w:r>
        <w:t xml:space="preserve">, flat year over year and improved from</w:t>
      </w:r>
      <w:r>
        <w:t xml:space="preserve"> </w:t>
      </w:r>
      <w:r>
        <w:rPr>
          <w:b/>
          <w:bCs/>
        </w:rPr>
        <w:t xml:space="preserve">18% sequentially</w:t>
      </w:r>
      <w:r>
        <w:t xml:space="preserve">.</w:t>
      </w:r>
    </w:p>
    <w:bookmarkEnd w:id="15"/>
    <w:bookmarkStart w:id="16" w:name="what-to-watch-in-3q"/>
    <w:p>
      <w:pPr>
        <w:pStyle w:val="Heading3"/>
      </w:pPr>
      <w:r>
        <w:t xml:space="preserve">What to watch in 3Q</w:t>
      </w:r>
    </w:p>
    <w:p>
      <w:pPr>
        <w:numPr>
          <w:ilvl w:val="0"/>
          <w:numId w:val="1005"/>
        </w:numPr>
      </w:pPr>
      <w:r>
        <w:rPr>
          <w:b/>
          <w:bCs/>
        </w:rPr>
        <w:t xml:space="preserve">Order growth versus community-count growth.</w:t>
      </w:r>
      <w:r>
        <w:br/>
      </w:r>
      <w:r>
        <w:t xml:space="preserve">In 2Q, both grew 11%, indicating stable absorption. Investors will want to see whether order growth can outpace community growth, signaling genuine demand improvement and/or market-share gains.</w:t>
      </w:r>
    </w:p>
    <w:p>
      <w:pPr>
        <w:numPr>
          <w:ilvl w:val="0"/>
          <w:numId w:val="1005"/>
        </w:numPr>
      </w:pPr>
      <w:r>
        <w:rPr>
          <w:b/>
          <w:bCs/>
        </w:rPr>
        <w:t xml:space="preserve">Cancellation rate.</w:t>
      </w:r>
      <w:r>
        <w:br/>
      </w:r>
      <w:r>
        <w:t xml:space="preserve">The stable 16% cancellation rate was a positive. An increase would suggest that affordability or financing qualification is becoming more difficult; management said the majority of cancellations stem from buyers ultimately not qualifying for a mortgage.</w:t>
      </w:r>
    </w:p>
    <w:p>
      <w:pPr>
        <w:numPr>
          <w:ilvl w:val="0"/>
          <w:numId w:val="1005"/>
        </w:numPr>
      </w:pPr>
      <w:r>
        <w:rPr>
          <w:b/>
          <w:bCs/>
        </w:rPr>
        <w:t xml:space="preserve">Order ASP and mix.</w:t>
      </w:r>
      <w:r>
        <w:br/>
      </w:r>
      <w:r>
        <w:t xml:space="preserve">The 2Q average order price was</w:t>
      </w:r>
      <w:r>
        <w:t xml:space="preserve"> </w:t>
      </w:r>
      <w:r>
        <w:rPr>
          <w:b/>
          <w:bCs/>
        </w:rPr>
        <w:t xml:space="preserve">$366,300</w:t>
      </w:r>
      <w:r>
        <w:t xml:space="preserve">, down 2% year over year. A stabilization or increase would be constructive—but a higher ASP caused by mix rather than reduced incentives would be less meaningful.</w:t>
      </w:r>
    </w:p>
    <w:p>
      <w:pPr>
        <w:numPr>
          <w:ilvl w:val="0"/>
          <w:numId w:val="1005"/>
        </w:numPr>
      </w:pPr>
      <w:r>
        <w:rPr>
          <w:b/>
          <w:bCs/>
        </w:rPr>
        <w:t xml:space="preserve">Incentive intensity.</w:t>
      </w:r>
      <w:r>
        <w:br/>
      </w:r>
      <w:r>
        <w:t xml:space="preserve">Management does not need to reduce incentives for the quarter to be viewed positively. The key is whether incentives remain stable enough to support guided margins and whether any stabilization is occurring at the community level.</w:t>
      </w:r>
    </w:p>
    <w:p>
      <w:r>
        <w:pict>
          <v:rect style="width:0;height:1.5pt" o:hralign="center" o:hrstd="t" o:hr="t"/>
        </w:pict>
      </w:r>
    </w:p>
    <w:bookmarkEnd w:id="16"/>
    <w:bookmarkEnd w:id="17"/>
    <w:bookmarkStart w:id="18" w:name="X496f5d61caf945ac15ae1f525bb32c8d58a2681"/>
    <w:p>
      <w:pPr>
        <w:pStyle w:val="Heading2"/>
      </w:pPr>
      <w:r>
        <w:t xml:space="preserve">Inventory and starts: the underappreciated swing factors</w:t>
      </w:r>
    </w:p>
    <w:p>
      <w:pPr>
        <w:pStyle w:val="FirstParagraph"/>
      </w:pPr>
      <w:r>
        <w:t xml:space="preserve">DHI’s inventory discipline improved materially in 2Q:</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Inventory metric at March 31, 2026</w:t>
            </w:r>
          </w:p>
        </w:tc>
        <w:tc>
          <w:tcPr/>
          <w:p>
            <w:pPr>
              <w:pStyle w:val="Compact"/>
              <w:jc w:val="right"/>
            </w:pPr>
            <w:r>
              <w:t xml:space="preserve">Amount</w:t>
            </w:r>
          </w:p>
        </w:tc>
      </w:tr>
      <w:tr>
        <w:tc>
          <w:tcPr/>
          <w:p>
            <w:pPr>
              <w:pStyle w:val="Compact"/>
            </w:pPr>
            <w:r>
              <w:t xml:space="preserve">Total homebuilding inventory</w:t>
            </w:r>
          </w:p>
        </w:tc>
        <w:tc>
          <w:tcPr/>
          <w:p>
            <w:pPr>
              <w:pStyle w:val="Compact"/>
              <w:jc w:val="right"/>
            </w:pPr>
            <w:r>
              <w:t xml:space="preserve">38,200 homes</w:t>
            </w:r>
          </w:p>
        </w:tc>
      </w:tr>
      <w:tr>
        <w:tc>
          <w:tcPr/>
          <w:p>
            <w:pPr>
              <w:pStyle w:val="Compact"/>
            </w:pPr>
            <w:r>
              <w:t xml:space="preserve">Unsold homes</w:t>
            </w:r>
          </w:p>
        </w:tc>
        <w:tc>
          <w:tcPr/>
          <w:p>
            <w:pPr>
              <w:pStyle w:val="Compact"/>
              <w:jc w:val="right"/>
            </w:pPr>
            <w:r>
              <w:t xml:space="preserve">22,900 homes</w:t>
            </w:r>
          </w:p>
        </w:tc>
      </w:tr>
      <w:tr>
        <w:tc>
          <w:tcPr/>
          <w:p>
            <w:pPr>
              <w:pStyle w:val="Compact"/>
            </w:pPr>
            <w:r>
              <w:t xml:space="preserve">Completed and unsold homes</w:t>
            </w:r>
          </w:p>
        </w:tc>
        <w:tc>
          <w:tcPr/>
          <w:p>
            <w:pPr>
              <w:pStyle w:val="Compact"/>
              <w:jc w:val="right"/>
            </w:pPr>
            <w:r>
              <w:t xml:space="preserve">5,500 homes</w:t>
            </w:r>
          </w:p>
        </w:tc>
      </w:tr>
      <w:tr>
        <w:tc>
          <w:tcPr/>
          <w:p>
            <w:pPr>
              <w:pStyle w:val="Compact"/>
            </w:pPr>
            <w:r>
              <w:t xml:space="preserve">Completed and unsold homes completed &gt;6 months</w:t>
            </w:r>
          </w:p>
        </w:tc>
        <w:tc>
          <w:tcPr/>
          <w:p>
            <w:pPr>
              <w:pStyle w:val="Compact"/>
              <w:jc w:val="right"/>
            </w:pPr>
            <w:r>
              <w:t xml:space="preserve">800 homes</w:t>
            </w:r>
          </w:p>
        </w:tc>
      </w:tr>
    </w:tbl>
    <w:p>
      <w:pPr>
        <w:pStyle w:val="BodyText"/>
      </w:pPr>
      <w:r>
        <w:t xml:space="preserve">The decline in completed specs is strategically important. Completed homes tend to be more incentive-sensitive and can create gross-margin pressure as they age. Management said completed unsold inventory and unsold homes as a percentage of total inventory had fallen to their lowest levels since fiscal 2023.</w:t>
      </w:r>
    </w:p>
    <w:p>
      <w:pPr>
        <w:pStyle w:val="BodyText"/>
      </w:pPr>
      <w:r>
        <w:t xml:space="preserve">For 3Q, investors should focus on:</w:t>
      </w:r>
    </w:p>
    <w:p>
      <w:pPr>
        <w:pStyle w:val="Compact"/>
        <w:numPr>
          <w:ilvl w:val="0"/>
          <w:numId w:val="1006"/>
        </w:numPr>
      </w:pPr>
      <w:r>
        <w:t xml:space="preserve">whether completed unsold homes remain contained;</w:t>
      </w:r>
    </w:p>
    <w:p>
      <w:pPr>
        <w:pStyle w:val="Compact"/>
        <w:numPr>
          <w:ilvl w:val="0"/>
          <w:numId w:val="1006"/>
        </w:numPr>
      </w:pPr>
      <w:r>
        <w:t xml:space="preserve">whether the company’s starts reduction is calibrated to actual sales pace;</w:t>
      </w:r>
    </w:p>
    <w:p>
      <w:pPr>
        <w:pStyle w:val="Compact"/>
        <w:numPr>
          <w:ilvl w:val="0"/>
          <w:numId w:val="1006"/>
        </w:numPr>
      </w:pPr>
      <w:r>
        <w:t xml:space="preserve">whether the company sells more homes earlier in the construction process; and</w:t>
      </w:r>
    </w:p>
    <w:p>
      <w:pPr>
        <w:pStyle w:val="Compact"/>
        <w:numPr>
          <w:ilvl w:val="0"/>
          <w:numId w:val="1006"/>
        </w:numPr>
      </w:pPr>
      <w:r>
        <w:t xml:space="preserve">whether the improvement in “complete-to-close” cycle time continues.</w:t>
      </w:r>
    </w:p>
    <w:p>
      <w:pPr>
        <w:pStyle w:val="FirstParagraph"/>
      </w:pPr>
      <w:r>
        <w:t xml:space="preserve">DHI expects 3Q starts to be lower sequentially than 2Q. That is not inherently negative: disciplined starts are a key part of protecting inventory turns and margins. The negative interpretation would be if starts are cut sharply because demand has weakened rather than because inventory management has improved.</w:t>
      </w:r>
    </w:p>
    <w:p>
      <w:r>
        <w:pict>
          <v:rect style="width:0;height:1.5pt" o:hralign="center" o:hrstd="t" o:hr="t"/>
        </w:pict>
      </w:r>
    </w:p>
    <w:bookmarkEnd w:id="18"/>
    <w:bookmarkStart w:id="19" w:name="X0686f8f931002eb0300955539316f5e73a091b7"/>
    <w:p>
      <w:pPr>
        <w:pStyle w:val="Heading2"/>
      </w:pPr>
      <w:r>
        <w:t xml:space="preserve">Cost outlook: near-term favorable, longer-term less certain</w:t>
      </w:r>
    </w:p>
    <w:p>
      <w:pPr>
        <w:pStyle w:val="FirstParagraph"/>
      </w:pPr>
      <w:r>
        <w:t xml:space="preserve">Management entered 3Q expecting additional construction-cost savings to flow through closings. In 2Q, both home-sales revenue per square foot and stick-and-brick cost per square foot were down 2% sequentially, while lot costs were roughly flat sequentially and up 4% year over year.</w:t>
      </w:r>
    </w:p>
    <w:p>
      <w:pPr>
        <w:pStyle w:val="BodyText"/>
      </w:pPr>
      <w:r>
        <w:t xml:space="preserve">The favorable near-term setup is:</w:t>
      </w:r>
    </w:p>
    <w:p>
      <w:pPr>
        <w:pStyle w:val="Compact"/>
        <w:numPr>
          <w:ilvl w:val="0"/>
          <w:numId w:val="1007"/>
        </w:numPr>
      </w:pPr>
      <w:r>
        <w:t xml:space="preserve">lower labor and materials costs embedded in homes already under construction;</w:t>
      </w:r>
    </w:p>
    <w:p>
      <w:pPr>
        <w:pStyle w:val="Compact"/>
        <w:numPr>
          <w:ilvl w:val="0"/>
          <w:numId w:val="1007"/>
        </w:numPr>
      </w:pPr>
      <w:r>
        <w:t xml:space="preserve">faster cycle times;</w:t>
      </w:r>
    </w:p>
    <w:p>
      <w:pPr>
        <w:pStyle w:val="Compact"/>
        <w:numPr>
          <w:ilvl w:val="0"/>
          <w:numId w:val="1007"/>
        </w:numPr>
      </w:pPr>
      <w:r>
        <w:t xml:space="preserve">lower completed-spec inventory; and</w:t>
      </w:r>
    </w:p>
    <w:p>
      <w:pPr>
        <w:pStyle w:val="Compact"/>
        <w:numPr>
          <w:ilvl w:val="0"/>
          <w:numId w:val="1007"/>
        </w:numPr>
      </w:pPr>
      <w:r>
        <w:t xml:space="preserve">better potential SG&amp;A leverage on higher 3Q closings.</w:t>
      </w:r>
    </w:p>
    <w:p>
      <w:pPr>
        <w:pStyle w:val="FirstParagraph"/>
      </w:pPr>
      <w:r>
        <w:t xml:space="preserve">The risk is that these benefits are temporary. Management cautioned that prolonged higher energy prices or broad-based building-material inflation could ultimately pressure costs, though it viewed meaningful impacts as more likely to affect fiscal 2027 than fiscal 2026. In other words, 3Q should still benefit from costs already locked into the build pipeline, but commentary on forward material costs will matter for the longer-term earnings outlook.</w:t>
      </w:r>
    </w:p>
    <w:p>
      <w:r>
        <w:pict>
          <v:rect style="width:0;height:1.5pt" o:hralign="center" o:hrstd="t" o:hr="t"/>
        </w:pict>
      </w:r>
    </w:p>
    <w:bookmarkEnd w:id="19"/>
    <w:bookmarkStart w:id="20" w:name="X2d601b06f529429061811e0b068f2d0b6500c61"/>
    <w:p>
      <w:pPr>
        <w:pStyle w:val="Heading2"/>
      </w:pPr>
      <w:r>
        <w:t xml:space="preserve">Capital allocation remains a major support</w:t>
      </w:r>
    </w:p>
    <w:p>
      <w:pPr>
        <w:pStyle w:val="FirstParagraph"/>
      </w:pPr>
      <w:r>
        <w:t xml:space="preserve">DHI retains substantial balance-sheet and capital-return capacity:</w:t>
      </w:r>
    </w:p>
    <w:p>
      <w:pPr>
        <w:pStyle w:val="Compact"/>
        <w:numPr>
          <w:ilvl w:val="0"/>
          <w:numId w:val="1008"/>
        </w:numPr>
      </w:pPr>
      <m:oMath>
        <m:r>
          <m:t>6.0</m:t>
        </m:r>
        <m:r>
          <m:t>b</m:t>
        </m:r>
        <m:r>
          <m:t>i</m:t>
        </m:r>
        <m:r>
          <m:t>l</m:t>
        </m:r>
        <m:r>
          <m:t>l</m:t>
        </m:r>
        <m:r>
          <m:t>i</m:t>
        </m:r>
        <m:r>
          <m:t>o</m:t>
        </m:r>
        <m:r>
          <m:t>n</m:t>
        </m:r>
        <m:r>
          <m:rPr>
            <m:sty m:val="p"/>
          </m:rPr>
          <m:t>*</m:t>
        </m:r>
        <m:r>
          <m:rPr>
            <m:sty m:val="p"/>
          </m:rPr>
          <m:t>*</m:t>
        </m:r>
        <m:r>
          <m:t>o</m:t>
        </m:r>
        <m:r>
          <m:t>f</m:t>
        </m:r>
        <m:r>
          <m:t>l</m:t>
        </m:r>
        <m:r>
          <m:t>i</m:t>
        </m:r>
        <m:r>
          <m:t>q</m:t>
        </m:r>
        <m:r>
          <m:t>u</m:t>
        </m:r>
        <m:r>
          <m:t>i</m:t>
        </m:r>
        <m:r>
          <m:t>d</m:t>
        </m:r>
        <m:r>
          <m:t>i</m:t>
        </m:r>
        <m:r>
          <m:t>t</m:t>
        </m:r>
        <m:r>
          <m:t>y</m:t>
        </m:r>
        <m:r>
          <m:t>a</m:t>
        </m:r>
        <m:r>
          <m:t>t</m:t>
        </m:r>
        <m:r>
          <m:t>M</m:t>
        </m:r>
        <m:r>
          <m:t>a</m:t>
        </m:r>
        <m:r>
          <m:t>r</m:t>
        </m:r>
        <m:r>
          <m:t>c</m:t>
        </m:r>
        <m:r>
          <m:t>h</m:t>
        </m:r>
        <m:r>
          <m:t>31</m:t>
        </m:r>
        <m:r>
          <m:rPr>
            <m:sty m:val="p"/>
          </m:rPr>
          <m:t>,</m:t>
        </m:r>
        <m:r>
          <m:t>i</m:t>
        </m:r>
        <m:r>
          <m:t>n</m:t>
        </m:r>
        <m:r>
          <m:t>c</m:t>
        </m:r>
        <m:r>
          <m:t>l</m:t>
        </m:r>
        <m:r>
          <m:t>u</m:t>
        </m:r>
        <m:r>
          <m:t>d</m:t>
        </m:r>
        <m:r>
          <m:t>i</m:t>
        </m:r>
        <m:r>
          <m:t>n</m:t>
        </m:r>
        <m:r>
          <m:t>g</m:t>
        </m:r>
        <m:r>
          <m:rPr>
            <m:sty m:val="p"/>
          </m:rPr>
          <m:t>*</m:t>
        </m:r>
        <m:r>
          <m:rPr>
            <m:sty m:val="p"/>
          </m:rPr>
          <m:t>*</m:t>
        </m:r>
      </m:oMath>
      <w:r>
        <w:rPr>
          <w:b/>
          <w:bCs/>
        </w:rPr>
        <w:t xml:space="preserve">1.9 billion</w:t>
      </w:r>
      <w:r>
        <w:t xml:space="preserve"> </w:t>
      </w:r>
      <w:r>
        <w:t xml:space="preserve">of cash.</w:t>
      </w:r>
    </w:p>
    <w:p>
      <w:pPr>
        <w:pStyle w:val="Compact"/>
        <w:numPr>
          <w:ilvl w:val="0"/>
          <w:numId w:val="1008"/>
        </w:numPr>
      </w:pPr>
      <w:r>
        <w:t xml:space="preserve">Debt to total capital of</w:t>
      </w:r>
      <w:r>
        <w:t xml:space="preserve"> </w:t>
      </w:r>
      <w:r>
        <w:rPr>
          <w:b/>
          <w:bCs/>
        </w:rPr>
        <w:t xml:space="preserve">21.7%</w:t>
      </w:r>
      <w:r>
        <w:t xml:space="preserve">, near management’s roughly 20% long-term target.</w:t>
      </w:r>
    </w:p>
    <w:p>
      <w:pPr>
        <w:pStyle w:val="Compact"/>
        <w:numPr>
          <w:ilvl w:val="0"/>
          <w:numId w:val="1008"/>
        </w:numPr>
      </w:pPr>
      <m:oMath>
        <m:r>
          <m:t>1.6</m:t>
        </m:r>
        <m:r>
          <m:t>b</m:t>
        </m:r>
        <m:r>
          <m:t>i</m:t>
        </m:r>
        <m:r>
          <m:t>l</m:t>
        </m:r>
        <m:r>
          <m:t>l</m:t>
        </m:r>
        <m:r>
          <m:t>i</m:t>
        </m:r>
        <m:r>
          <m:t>o</m:t>
        </m:r>
        <m:r>
          <m:t>n</m:t>
        </m:r>
        <m:r>
          <m:rPr>
            <m:sty m:val="p"/>
          </m:rPr>
          <m:t>*</m:t>
        </m:r>
        <m:r>
          <m:rPr>
            <m:sty m:val="p"/>
          </m:rPr>
          <m:t>*</m:t>
        </m:r>
        <m:r>
          <m:t>o</m:t>
        </m:r>
        <m:r>
          <m:t>f</m:t>
        </m:r>
        <m:r>
          <m:t>s</m:t>
        </m:r>
        <m:r>
          <m:t>t</m:t>
        </m:r>
        <m:r>
          <m:t>o</m:t>
        </m:r>
        <m:r>
          <m:t>c</m:t>
        </m:r>
        <m:r>
          <m:t>k</m:t>
        </m:r>
        <m:r>
          <m:t>r</m:t>
        </m:r>
        <m:r>
          <m:t>e</m:t>
        </m:r>
        <m:r>
          <m:t>p</m:t>
        </m:r>
        <m:r>
          <m:t>u</m:t>
        </m:r>
        <m:r>
          <m:t>r</m:t>
        </m:r>
        <m:r>
          <m:t>c</m:t>
        </m:r>
        <m:r>
          <m:t>h</m:t>
        </m:r>
        <m:r>
          <m:t>a</m:t>
        </m:r>
        <m:r>
          <m:t>s</m:t>
        </m:r>
        <m:r>
          <m:t>e</m:t>
        </m:r>
        <m:r>
          <m:t>s</m:t>
        </m:r>
        <m:r>
          <m:t>i</m:t>
        </m:r>
        <m:r>
          <m:t>n</m:t>
        </m:r>
        <m:r>
          <m:t>t</m:t>
        </m:r>
        <m:r>
          <m:t>h</m:t>
        </m:r>
        <m:r>
          <m:t>e</m:t>
        </m:r>
        <m:r>
          <m:t>f</m:t>
        </m:r>
        <m:r>
          <m:t>i</m:t>
        </m:r>
        <m:r>
          <m:t>r</m:t>
        </m:r>
        <m:r>
          <m:t>s</m:t>
        </m:r>
        <m:r>
          <m:t>t</m:t>
        </m:r>
        <m:r>
          <m:t>h</m:t>
        </m:r>
        <m:r>
          <m:t>a</m:t>
        </m:r>
        <m:r>
          <m:t>l</m:t>
        </m:r>
        <m:r>
          <m:t>f</m:t>
        </m:r>
        <m:r>
          <m:t>o</m:t>
        </m:r>
        <m:r>
          <m:t>f</m:t>
        </m:r>
        <m:r>
          <m:t>F</m:t>
        </m:r>
        <m:r>
          <m:t>Y</m:t>
        </m:r>
        <m:r>
          <m:t>26</m:t>
        </m:r>
        <m:r>
          <m:rPr>
            <m:sty m:val="p"/>
          </m:rPr>
          <m:t>,</m:t>
        </m:r>
        <m:r>
          <m:t>i</m:t>
        </m:r>
        <m:r>
          <m:t>n</m:t>
        </m:r>
        <m:r>
          <m:t>c</m:t>
        </m:r>
        <m:r>
          <m:t>l</m:t>
        </m:r>
        <m:r>
          <m:t>u</m:t>
        </m:r>
        <m:r>
          <m:t>d</m:t>
        </m:r>
        <m:r>
          <m:t>i</m:t>
        </m:r>
        <m:r>
          <m:t>n</m:t>
        </m:r>
        <m:r>
          <m:t>g</m:t>
        </m:r>
        <m:r>
          <m:rPr>
            <m:sty m:val="p"/>
          </m:rPr>
          <m:t>*</m:t>
        </m:r>
        <m:r>
          <m:rPr>
            <m:sty m:val="p"/>
          </m:rPr>
          <m:t>*</m:t>
        </m:r>
      </m:oMath>
      <w:r>
        <w:rPr>
          <w:b/>
          <w:bCs/>
        </w:rPr>
        <w:t xml:space="preserve">904 million</w:t>
      </w:r>
      <w:r>
        <w:t xml:space="preserve"> </w:t>
      </w:r>
      <w:r>
        <w:t xml:space="preserve">in 2Q.</w:t>
      </w:r>
    </w:p>
    <w:p>
      <w:pPr>
        <w:pStyle w:val="Compact"/>
        <w:numPr>
          <w:ilvl w:val="0"/>
          <w:numId w:val="1008"/>
        </w:numPr>
      </w:pPr>
      <w:r>
        <w:t xml:space="preserve">Shares outstanding down</w:t>
      </w:r>
      <w:r>
        <w:t xml:space="preserve"> </w:t>
      </w:r>
      <w:r>
        <w:rPr>
          <w:b/>
          <w:bCs/>
        </w:rPr>
        <w:t xml:space="preserve">8% year over year</w:t>
      </w:r>
      <w:r>
        <w:t xml:space="preserve"> </w:t>
      </w:r>
      <w:r>
        <w:t xml:space="preserve">to</w:t>
      </w:r>
      <w:r>
        <w:t xml:space="preserve"> </w:t>
      </w:r>
      <w:r>
        <w:rPr>
          <w:b/>
          <w:bCs/>
        </w:rPr>
        <w:t xml:space="preserve">284.9 million</w:t>
      </w:r>
      <w:r>
        <w:t xml:space="preserve"> </w:t>
      </w:r>
      <w:r>
        <w:t xml:space="preserve">at March 31.</w:t>
      </w:r>
    </w:p>
    <w:p>
      <w:pPr>
        <w:pStyle w:val="Compact"/>
        <w:numPr>
          <w:ilvl w:val="0"/>
          <w:numId w:val="1008"/>
        </w:numPr>
      </w:pPr>
      <w:r>
        <w:rPr>
          <w:b/>
          <w:bCs/>
        </w:rPr>
        <w:t xml:space="preserve">$1.7 billion</w:t>
      </w:r>
      <w:r>
        <w:t xml:space="preserve"> </w:t>
      </w:r>
      <w:r>
        <w:t xml:space="preserve">of buyback authorization remaining after 2Q.</w:t>
      </w:r>
    </w:p>
    <w:p>
      <w:pPr>
        <w:pStyle w:val="Compact"/>
        <w:numPr>
          <w:ilvl w:val="0"/>
          <w:numId w:val="1008"/>
        </w:numPr>
      </w:pPr>
      <w:r>
        <w:t xml:space="preserve">A quarterly dividend of</w:t>
      </w:r>
      <w:r>
        <w:t xml:space="preserve"> </w:t>
      </w:r>
      <w:r>
        <w:rPr>
          <w:b/>
          <w:bCs/>
        </w:rPr>
        <w:t xml:space="preserve">$0.45 per share</w:t>
      </w:r>
      <w:r>
        <w:t xml:space="preserve">.</w:t>
      </w:r>
    </w:p>
    <w:p>
      <w:pPr>
        <w:pStyle w:val="FirstParagraph"/>
      </w:pPr>
      <w:r>
        <w:t xml:space="preserve">At the July 20 close, DHI traded at roughly</w:t>
      </w:r>
      <w:r>
        <w:t xml:space="preserve"> </w:t>
      </w:r>
      <w:r>
        <w:rPr>
          <w:b/>
          <w:bCs/>
        </w:rPr>
        <w:t xml:space="preserve">1.75x March book value per share of $82.91</w:t>
      </w:r>
      <w:r>
        <w:t xml:space="preserve">. The valuation and substantial buyback program make continued cash-flow execution important: the company is effectively underwriting shareholder returns with operating cash flow while keeping leverage moderate.</w:t>
      </w:r>
    </w:p>
    <w:p>
      <w:pPr>
        <w:pStyle w:val="BodyText"/>
      </w:pPr>
      <w:r>
        <w:t xml:space="preserve">For this report, investors should look for confirmation that DHI remains on pace for:</w:t>
      </w:r>
    </w:p>
    <w:p>
      <w:pPr>
        <w:pStyle w:val="Compact"/>
        <w:numPr>
          <w:ilvl w:val="0"/>
          <w:numId w:val="1009"/>
        </w:numPr>
      </w:pPr>
      <w:r>
        <w:t xml:space="preserve">at least</w:t>
      </w:r>
      <w:r>
        <w:t xml:space="preserve"> </w:t>
      </w:r>
      <w:r>
        <w:rPr>
          <w:b/>
          <w:bCs/>
        </w:rPr>
        <w:t xml:space="preserve">$3.0 billion</w:t>
      </w:r>
      <w:r>
        <w:t xml:space="preserve"> </w:t>
      </w:r>
      <w:r>
        <w:t xml:space="preserve">of FY26 operating cash flow;</w:t>
      </w:r>
    </w:p>
    <w:p>
      <w:pPr>
        <w:pStyle w:val="Compact"/>
        <w:numPr>
          <w:ilvl w:val="0"/>
          <w:numId w:val="1009"/>
        </w:numPr>
      </w:pPr>
      <w:r>
        <w:t xml:space="preserve">approximately</w:t>
      </w:r>
      <w:r>
        <w:t xml:space="preserve"> </w:t>
      </w:r>
      <w:r>
        <w:rPr>
          <w:b/>
          <w:bCs/>
        </w:rPr>
        <w:t xml:space="preserve">$2.5 billion</w:t>
      </w:r>
      <w:r>
        <w:t xml:space="preserve"> </w:t>
      </w:r>
      <w:r>
        <w:t xml:space="preserve">of buybacks; and</w:t>
      </w:r>
    </w:p>
    <w:p>
      <w:pPr>
        <w:pStyle w:val="Compact"/>
        <w:numPr>
          <w:ilvl w:val="0"/>
          <w:numId w:val="1009"/>
        </w:numPr>
      </w:pPr>
      <w:r>
        <w:t xml:space="preserve">its full-year volume outlook.</w:t>
      </w:r>
    </w:p>
    <w:p>
      <w:pPr>
        <w:pStyle w:val="FirstParagraph"/>
      </w:pPr>
      <w:r>
        <w:t xml:space="preserve">Any reduction to those targets would be more consequential than a modest quarterly EPS variance.</w:t>
      </w:r>
    </w:p>
    <w:p>
      <w:r>
        <w:pict>
          <v:rect style="width:0;height:1.5pt" o:hralign="center" o:hrstd="t" o:hr="t"/>
        </w:pict>
      </w:r>
    </w:p>
    <w:bookmarkEnd w:id="20"/>
    <w:bookmarkStart w:id="24" w:name="what-would-be-bullish-neutral-or-bearish"/>
    <w:p>
      <w:pPr>
        <w:pStyle w:val="Heading2"/>
      </w:pPr>
      <w:r>
        <w:t xml:space="preserve">What would be bullish, neutral, or bearish?</w:t>
      </w:r>
    </w:p>
    <w:bookmarkStart w:id="21" w:name="bullish-outcome"/>
    <w:p>
      <w:pPr>
        <w:pStyle w:val="Heading3"/>
      </w:pPr>
      <w:r>
        <w:t xml:space="preserve">Bullish outcome</w:t>
      </w:r>
    </w:p>
    <w:p>
      <w:pPr>
        <w:pStyle w:val="Compact"/>
        <w:numPr>
          <w:ilvl w:val="0"/>
          <w:numId w:val="1010"/>
        </w:numPr>
      </w:pPr>
      <w:r>
        <w:t xml:space="preserve">Revenue and closings at or above the high end of guidance.</w:t>
      </w:r>
    </w:p>
    <w:p>
      <w:pPr>
        <w:pStyle w:val="Compact"/>
        <w:numPr>
          <w:ilvl w:val="0"/>
          <w:numId w:val="1010"/>
        </w:numPr>
      </w:pPr>
      <w:r>
        <w:t xml:space="preserve">Gross margin at or above</w:t>
      </w:r>
      <w:r>
        <w:t xml:space="preserve"> </w:t>
      </w:r>
      <w:r>
        <w:rPr>
          <w:b/>
          <w:bCs/>
        </w:rPr>
        <w:t xml:space="preserve">20%</w:t>
      </w:r>
      <w:r>
        <w:t xml:space="preserve">, without relying on unusual reserve or litigation benefits.</w:t>
      </w:r>
    </w:p>
    <w:p>
      <w:pPr>
        <w:pStyle w:val="Compact"/>
        <w:numPr>
          <w:ilvl w:val="0"/>
          <w:numId w:val="1010"/>
        </w:numPr>
      </w:pPr>
      <w:r>
        <w:t xml:space="preserve">Orders growing faster than community count, with cancellations stable or lower.</w:t>
      </w:r>
    </w:p>
    <w:p>
      <w:pPr>
        <w:pStyle w:val="Compact"/>
        <w:numPr>
          <w:ilvl w:val="0"/>
          <w:numId w:val="1010"/>
        </w:numPr>
      </w:pPr>
      <w:r>
        <w:t xml:space="preserve">Incentives stable to lower in aggregate, or at least no deterioration in the order book.</w:t>
      </w:r>
    </w:p>
    <w:p>
      <w:pPr>
        <w:pStyle w:val="Compact"/>
        <w:numPr>
          <w:ilvl w:val="0"/>
          <w:numId w:val="1010"/>
        </w:numPr>
      </w:pPr>
      <w:r>
        <w:t xml:space="preserve">Unsold completed inventory remaining low.</w:t>
      </w:r>
    </w:p>
    <w:p>
      <w:pPr>
        <w:pStyle w:val="Compact"/>
        <w:numPr>
          <w:ilvl w:val="0"/>
          <w:numId w:val="1010"/>
        </w:numPr>
      </w:pPr>
      <w:r>
        <w:t xml:space="preserve">FY26 revenue, closings, cash-flow, and capital-return targets reaffirmed.</w:t>
      </w:r>
    </w:p>
    <w:p>
      <w:pPr>
        <w:pStyle w:val="Compact"/>
        <w:numPr>
          <w:ilvl w:val="0"/>
          <w:numId w:val="1010"/>
        </w:numPr>
      </w:pPr>
      <w:r>
        <w:t xml:space="preserve">Constructive commentary on construction-cost savings and market-share opportunities.</w:t>
      </w:r>
    </w:p>
    <w:bookmarkEnd w:id="21"/>
    <w:bookmarkStart w:id="22" w:name="neutral--in-line-outcome"/>
    <w:p>
      <w:pPr>
        <w:pStyle w:val="Heading3"/>
      </w:pPr>
      <w:r>
        <w:t xml:space="preserve">Neutral / “in line” outcome</w:t>
      </w:r>
    </w:p>
    <w:p>
      <w:pPr>
        <w:pStyle w:val="Compact"/>
        <w:numPr>
          <w:ilvl w:val="0"/>
          <w:numId w:val="1011"/>
        </w:numPr>
      </w:pPr>
      <w:r>
        <w:t xml:space="preserve">Results land around guidance midpoints.</w:t>
      </w:r>
    </w:p>
    <w:p>
      <w:pPr>
        <w:pStyle w:val="Compact"/>
        <w:numPr>
          <w:ilvl w:val="0"/>
          <w:numId w:val="1011"/>
        </w:numPr>
      </w:pPr>
      <w:r>
        <w:t xml:space="preserve">Gross margin holds near the normalized 2Q level of</w:t>
      </w:r>
      <w:r>
        <w:t xml:space="preserve"> </w:t>
      </w:r>
      <w:r>
        <w:rPr>
          <w:b/>
          <w:bCs/>
        </w:rPr>
        <w:t xml:space="preserve">19.7%</w:t>
      </w:r>
      <w:r>
        <w:t xml:space="preserve">.</w:t>
      </w:r>
    </w:p>
    <w:p>
      <w:pPr>
        <w:pStyle w:val="Compact"/>
        <w:numPr>
          <w:ilvl w:val="0"/>
          <w:numId w:val="1011"/>
        </w:numPr>
      </w:pPr>
      <w:r>
        <w:t xml:space="preserve">Orders grow roughly in line with community count.</w:t>
      </w:r>
    </w:p>
    <w:p>
      <w:pPr>
        <w:pStyle w:val="Compact"/>
        <w:numPr>
          <w:ilvl w:val="0"/>
          <w:numId w:val="1011"/>
        </w:numPr>
      </w:pPr>
      <w:r>
        <w:t xml:space="preserve">Incentives remain elevated but stable.</w:t>
      </w:r>
    </w:p>
    <w:p>
      <w:pPr>
        <w:pStyle w:val="Compact"/>
        <w:numPr>
          <w:ilvl w:val="0"/>
          <w:numId w:val="1011"/>
        </w:numPr>
      </w:pPr>
      <w:r>
        <w:t xml:space="preserve">Management reiterates guidance while emphasizing continued affordability constraints.</w:t>
      </w:r>
    </w:p>
    <w:p>
      <w:pPr>
        <w:pStyle w:val="FirstParagraph"/>
      </w:pPr>
      <w:r>
        <w:t xml:space="preserve">This would validate the operating plan, though it may not be enough to drive a strong positive stock reaction if investors want clearer evidence of demand acceleration or easing incentive pressure.</w:t>
      </w:r>
    </w:p>
    <w:bookmarkEnd w:id="22"/>
    <w:bookmarkStart w:id="23" w:name="bearish-outcome"/>
    <w:p>
      <w:pPr>
        <w:pStyle w:val="Heading3"/>
      </w:pPr>
      <w:r>
        <w:t xml:space="preserve">Bearish outcome</w:t>
      </w:r>
    </w:p>
    <w:p>
      <w:pPr>
        <w:pStyle w:val="Compact"/>
        <w:numPr>
          <w:ilvl w:val="0"/>
          <w:numId w:val="1012"/>
        </w:numPr>
      </w:pPr>
      <w:r>
        <w:t xml:space="preserve">Revenue/closings miss the low end of guidance.</w:t>
      </w:r>
    </w:p>
    <w:p>
      <w:pPr>
        <w:pStyle w:val="Compact"/>
        <w:numPr>
          <w:ilvl w:val="0"/>
          <w:numId w:val="1012"/>
        </w:numPr>
      </w:pPr>
      <w:r>
        <w:t xml:space="preserve">Gross margin falls below</w:t>
      </w:r>
      <w:r>
        <w:t xml:space="preserve"> </w:t>
      </w:r>
      <w:r>
        <w:rPr>
          <w:b/>
          <w:bCs/>
        </w:rPr>
        <w:t xml:space="preserve">19.7%</w:t>
      </w:r>
      <w:r>
        <w:t xml:space="preserve">, particularly if tied to higher incentives rather than mix.</w:t>
      </w:r>
    </w:p>
    <w:p>
      <w:pPr>
        <w:pStyle w:val="Compact"/>
        <w:numPr>
          <w:ilvl w:val="0"/>
          <w:numId w:val="1012"/>
        </w:numPr>
      </w:pPr>
      <w:r>
        <w:t xml:space="preserve">Cancellations rise or order ASP declines meaningfully.</w:t>
      </w:r>
    </w:p>
    <w:p>
      <w:pPr>
        <w:pStyle w:val="Compact"/>
        <w:numPr>
          <w:ilvl w:val="0"/>
          <w:numId w:val="1012"/>
        </w:numPr>
      </w:pPr>
      <w:r>
        <w:t xml:space="preserve">Unsold completed inventory rebuilds.</w:t>
      </w:r>
    </w:p>
    <w:p>
      <w:pPr>
        <w:pStyle w:val="Compact"/>
        <w:numPr>
          <w:ilvl w:val="0"/>
          <w:numId w:val="1012"/>
        </w:numPr>
      </w:pPr>
      <w:r>
        <w:t xml:space="preserve">Starts are reduced because of weaker demand rather than inventory discipline.</w:t>
      </w:r>
    </w:p>
    <w:p>
      <w:pPr>
        <w:pStyle w:val="Compact"/>
        <w:numPr>
          <w:ilvl w:val="0"/>
          <w:numId w:val="1012"/>
        </w:numPr>
      </w:pPr>
      <w:r>
        <w:t xml:space="preserve">FY26 closing, revenue, operating-cash-flow, repurchase, or dividend expectations are reduced.</w:t>
      </w:r>
    </w:p>
    <w:p>
      <w:pPr>
        <w:pStyle w:val="Compact"/>
        <w:numPr>
          <w:ilvl w:val="0"/>
          <w:numId w:val="1012"/>
        </w:numPr>
      </w:pPr>
      <w:r>
        <w:t xml:space="preserve">Management signals that costs or mortgage-rate dynamics are worsening faster than expected.</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DHI has positioned itself well for a difficult housing environment: its scale, lower-price-point focus, controlled lot strategy, mortgage platform, improved inventory quality, and buyback capacity are meaningful advantages. The company does not need a major demand inflection to deliver a solid quarter; it needs to demonstrate that</w:t>
      </w:r>
      <w:r>
        <w:t xml:space="preserve"> </w:t>
      </w:r>
      <w:r>
        <w:rPr>
          <w:b/>
          <w:bCs/>
        </w:rPr>
        <w:t xml:space="preserve">volume growth, stable incentives, lower construction costs, and disciplined inventory management can coexist</w:t>
      </w:r>
      <w:r>
        <w:t xml:space="preserve">.</w:t>
      </w:r>
    </w:p>
    <w:p>
      <w:pPr>
        <w:pStyle w:val="BodyText"/>
      </w:pPr>
      <w:r>
        <w:t xml:space="preserve">The most important earnings-day question is not whether DHI can produce a quarter near its guide. It is whether its order and incentive data support the idea that normalized gross margin can remain around</w:t>
      </w:r>
      <w:r>
        <w:t xml:space="preserve"> </w:t>
      </w:r>
      <w:r>
        <w:rPr>
          <w:b/>
          <w:bCs/>
        </w:rPr>
        <w:t xml:space="preserve">20%</w:t>
      </w:r>
      <w:r>
        <w:t xml:space="preserve"> </w:t>
      </w:r>
      <w:r>
        <w:t xml:space="preserve">while the company protects its FY26 cash-flow and capital-return plan.</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2026-07-21T00:09:01Z</dcterms:created>
  <dcterms:modified xsi:type="dcterms:W3CDTF">2026-07-21T00:09:01Z</dcterms:modified>
</cp:coreProperties>
</file>

<file path=docProps/custom.xml><?xml version="1.0" encoding="utf-8"?>
<Properties xmlns="http://schemas.openxmlformats.org/officeDocument/2006/custom-properties" xmlns:vt="http://schemas.openxmlformats.org/officeDocument/2006/docPropsVTypes"/>
</file>