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D.R. Horton, Inc. (DHI)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D.R. Horton, Inc.</w:t>
            </w:r>
          </w:p>
        </w:tc>
      </w:tr>
      <w:tr>
        <w:tc>
          <w:tcPr>
            <w:tcW w:type="dxa" w:w="4320"/>
          </w:tcPr>
          <w:p>
            <w:r>
              <w:rPr>
                <w:rFonts w:ascii="Calibri" w:hAnsi="Calibri"/>
                <w:b/>
                <w:sz w:val="22"/>
              </w:rPr>
              <w:t>Ticker</w:t>
            </w:r>
          </w:p>
        </w:tc>
        <w:tc>
          <w:tcPr>
            <w:tcW w:type="dxa" w:w="4320"/>
          </w:tcPr>
          <w:p>
            <w:r>
              <w:rPr>
                <w:rFonts w:ascii="Calibri" w:hAnsi="Calibri"/>
                <w:sz w:val="22"/>
              </w:rPr>
              <w:t>DHI (NYSE)</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21,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Last Earnings</w:t>
            </w:r>
          </w:p>
        </w:tc>
        <w:tc>
          <w:tcPr>
            <w:tcW w:type="dxa" w:w="4320"/>
          </w:tcPr>
          <w:p>
            <w:r>
              <w:rPr>
                <w:rFonts w:ascii="Calibri" w:hAnsi="Calibri"/>
                <w:sz w:val="22"/>
              </w:rPr>
              <w:t>Q2 FY2026 — April 21, 2026 (beat on EPS &amp; orders; revenue slightly light)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and the biggest swing factor is whether DHI can hold gross margin at or above the guided 19.7%–20.2% range while sustaining the strong order momentum seen in Q2.</w:t>
      </w:r>
    </w:p>
    <w:p>
      <w:r>
        <w:rPr>
          <w:rFonts w:ascii="Calibri" w:hAnsi="Calibri"/>
          <w:color w:val="525866"/>
          <w:sz w:val="22"/>
        </w:rPr>
        <w:t>Heading into Q3 FY2026 earnings, the bar is achievable but not easy: consensus revenue of ~$9.19B and ~23,778 closings sit squarely within DHI’s own guided range ($8.8B–$9.3B revenue; 23,500–24,000 closings), while the gross margin consensus of ~19.8% is at the midpoint of the 19.7%–20.2% guided range, leaving modest room for a beat if construction cost savings continue to accrue. Management’s tone since the April 21 Q2 call has been steady-to-cautious — COO Murray guided for “stable incentive levels from Q2 to Q3,” demand is described as “good but measured,” and the company trimmed the top end of full-year guidance, acknowledging H1 closings came in light. Estimate revisions have been broadly flat since Q2 earnings, meaning the stock is not pricing in a beat, but there is also no elevated bar to clear. DHI has underperformed meaningfully since Q2 earnings — down ~7.9% vs. the S&amp;P 500 up ~5.6% — suggesting the market has already de-rated the stock on margin concerns, creating an asymmetric setup if Q3 results confirm margin stabilization. The single biggest wildcard is whether early construction cost savings are sufficient to offset lot cost headwinds and push gross margin to the high end of guidance (~20.2%) while sustaining net order growth above 10% YoY — that combination would likely drive a sharp re-rating given the stock’s depressed multiple.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estimates sit at the midpoint of company guidance across all key metrics. </w:t>
      </w:r>
    </w:p>
    <w:p>
      <w:r>
        <w:rPr>
          <w:rFonts w:ascii="Calibri" w:hAnsi="Calibri"/>
          <w:b/>
          <w:color w:val="525866"/>
          <w:sz w:val="22"/>
        </w:rPr>
        <w:t>Gross margin is the bigger swing factor</w:t>
      </w:r>
      <w:r>
        <w:rPr>
          <w:rFonts w:ascii="Calibri" w:hAnsi="Calibri"/>
          <w:color w:val="525866"/>
          <w:sz w:val="22"/>
        </w:rPr>
        <w:t>: a print at the high end of the 19.7%–20.2% guided range would be a meaningful positive signal, while any miss on closings volume would pressure SG&amp;A leverage and EPS.</w:t>
      </w:r>
    </w:p>
    <w:p>
      <w:pPr>
        <w:pStyle w:val="Heading3"/>
      </w:pPr>
      <w:r>
        <w:rPr>
          <w:rFonts w:ascii="Calibri" w:hAnsi="Calibri"/>
          <w:b/>
          <w:color w:val="3B4259"/>
          <w:sz w:val="24"/>
        </w:rPr>
        <w:t>Table 1 — Current Quarter Snapshot (Fiscal Q3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Q3 FY2026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Total Revenue ($B)</w:t>
            </w:r>
          </w:p>
        </w:tc>
        <w:tc>
          <w:tcPr>
            <w:tcW w:type="dxa" w:w="1234"/>
          </w:tcPr>
          <w:p>
            <w:r>
              <w:rPr>
                <w:rFonts w:ascii="Calibri" w:hAnsi="Calibri"/>
                <w:sz w:val="22"/>
              </w:rPr>
              <w:t>$7.558B</w:t>
            </w:r>
          </w:p>
        </w:tc>
        <w:tc>
          <w:tcPr>
            <w:tcW w:type="dxa" w:w="1234"/>
          </w:tcPr>
          <w:p>
            <w:r>
              <w:rPr>
                <w:rFonts w:ascii="Calibri" w:hAnsi="Calibri"/>
                <w:sz w:val="22"/>
              </w:rPr>
              <w:t>$9.226B</w:t>
            </w:r>
          </w:p>
        </w:tc>
        <w:tc>
          <w:tcPr>
            <w:tcW w:type="dxa" w:w="1234"/>
          </w:tcPr>
          <w:p>
            <w:r>
              <w:rPr>
                <w:rFonts w:ascii="Calibri" w:hAnsi="Calibri"/>
                <w:sz w:val="22"/>
              </w:rPr>
              <w:t>$9.187B</w:t>
            </w:r>
          </w:p>
        </w:tc>
        <w:tc>
          <w:tcPr>
            <w:tcW w:type="dxa" w:w="1234"/>
          </w:tcPr>
          <w:p>
            <w:r>
              <w:rPr>
                <w:rFonts w:ascii="Calibri" w:hAnsi="Calibri"/>
                <w:sz w:val="22"/>
              </w:rPr>
              <w:t>-0.4% vs. PY</w:t>
            </w:r>
          </w:p>
        </w:tc>
        <w:tc>
          <w:tcPr>
            <w:tcW w:type="dxa" w:w="1234"/>
          </w:tcPr>
          <w:p>
            <w:r>
              <w:rPr>
                <w:rFonts w:ascii="Calibri" w:hAnsi="Calibri"/>
                <w:sz w:val="22"/>
              </w:rPr>
              <w:t>$8.8B – $9.3B</w:t>
            </w:r>
          </w:p>
        </w:tc>
        <w:tc>
          <w:tcPr>
            <w:tcW w:type="dxa" w:w="1234"/>
          </w:tcPr>
          <w:p>
            <w:r>
              <w:rPr>
                <w:rFonts w:ascii="Calibri" w:hAnsi="Calibri"/>
                <w:sz w:val="22"/>
              </w:rPr>
              <w:t>-0.1% vs. midpoint ($9.05B)</w:t>
            </w:r>
          </w:p>
        </w:tc>
      </w:tr>
      <w:tr>
        <w:tc>
          <w:tcPr>
            <w:tcW w:type="dxa" w:w="1234"/>
          </w:tcPr>
          <w:p>
            <w:r>
              <w:rPr>
                <w:rFonts w:ascii="Calibri" w:hAnsi="Calibri"/>
                <w:sz w:val="22"/>
              </w:rPr>
              <w:t>Home Sales Revenue ($B)</w:t>
            </w:r>
          </w:p>
        </w:tc>
        <w:tc>
          <w:tcPr>
            <w:tcW w:type="dxa" w:w="1234"/>
          </w:tcPr>
          <w:p>
            <w:r>
              <w:rPr>
                <w:rFonts w:ascii="Calibri" w:hAnsi="Calibri"/>
                <w:sz w:val="22"/>
              </w:rPr>
              <w:t>$7.046B</w:t>
            </w:r>
          </w:p>
        </w:tc>
        <w:tc>
          <w:tcPr>
            <w:tcW w:type="dxa" w:w="1234"/>
          </w:tcPr>
          <w:p>
            <w:r>
              <w:rPr>
                <w:rFonts w:ascii="Calibri" w:hAnsi="Calibri"/>
                <w:sz w:val="22"/>
              </w:rPr>
              <w:t>$8.561B</w:t>
            </w:r>
          </w:p>
        </w:tc>
        <w:tc>
          <w:tcPr>
            <w:tcW w:type="dxa" w:w="1234"/>
          </w:tcPr>
          <w:p>
            <w:r>
              <w:rPr>
                <w:rFonts w:ascii="Calibri" w:hAnsi="Calibri"/>
                <w:sz w:val="22"/>
              </w:rPr>
              <w:t>$8.577B</w:t>
            </w:r>
          </w:p>
        </w:tc>
        <w:tc>
          <w:tcPr>
            <w:tcW w:type="dxa" w:w="1234"/>
          </w:tcPr>
          <w:p>
            <w:r>
              <w:rPr>
                <w:rFonts w:ascii="Calibri" w:hAnsi="Calibri"/>
                <w:sz w:val="22"/>
              </w:rPr>
              <w:t>+0.2% vs. PY</w:t>
            </w:r>
          </w:p>
        </w:tc>
        <w:tc>
          <w:tcPr>
            <w:tcW w:type="dxa" w:w="1234"/>
          </w:tcPr>
          <w:p>
            <w:r>
              <w:rPr>
                <w:rFonts w:ascii="Calibri" w:hAnsi="Calibri"/>
                <w:sz w:val="22"/>
              </w:rPr>
              <w:t>N/A (implied by closings × ASP)</w:t>
            </w:r>
          </w:p>
        </w:tc>
        <w:tc>
          <w:tcPr>
            <w:tcW w:type="dxa" w:w="1234"/>
          </w:tcPr>
          <w:p>
            <w:r>
              <w:rPr>
                <w:rFonts w:ascii="Calibri" w:hAnsi="Calibri"/>
                <w:sz w:val="22"/>
              </w:rPr>
              <w:t>N/A</w:t>
            </w:r>
          </w:p>
        </w:tc>
      </w:tr>
      <w:tr>
        <w:tc>
          <w:tcPr>
            <w:tcW w:type="dxa" w:w="1234"/>
          </w:tcPr>
          <w:p>
            <w:r>
              <w:rPr>
                <w:rFonts w:ascii="Calibri" w:hAnsi="Calibri"/>
                <w:sz w:val="22"/>
              </w:rPr>
              <w:t>Homes Delivered (#)</w:t>
            </w:r>
          </w:p>
        </w:tc>
        <w:tc>
          <w:tcPr>
            <w:tcW w:type="dxa" w:w="1234"/>
          </w:tcPr>
          <w:p>
            <w:r>
              <w:rPr>
                <w:rFonts w:ascii="Calibri" w:hAnsi="Calibri"/>
                <w:sz w:val="22"/>
              </w:rPr>
              <w:t>19,486</w:t>
            </w:r>
          </w:p>
        </w:tc>
        <w:tc>
          <w:tcPr>
            <w:tcW w:type="dxa" w:w="1234"/>
          </w:tcPr>
          <w:p>
            <w:r>
              <w:rPr>
                <w:rFonts w:ascii="Calibri" w:hAnsi="Calibri"/>
                <w:sz w:val="22"/>
              </w:rPr>
              <w:t>23,160</w:t>
            </w:r>
          </w:p>
        </w:tc>
        <w:tc>
          <w:tcPr>
            <w:tcW w:type="dxa" w:w="1234"/>
          </w:tcPr>
          <w:p>
            <w:r>
              <w:rPr>
                <w:rFonts w:ascii="Calibri" w:hAnsi="Calibri"/>
                <w:sz w:val="22"/>
              </w:rPr>
              <w:t>23,778</w:t>
            </w:r>
          </w:p>
        </w:tc>
        <w:tc>
          <w:tcPr>
            <w:tcW w:type="dxa" w:w="1234"/>
          </w:tcPr>
          <w:p>
            <w:r>
              <w:rPr>
                <w:rFonts w:ascii="Calibri" w:hAnsi="Calibri"/>
                <w:sz w:val="22"/>
              </w:rPr>
              <w:t>+2.7% vs. PY</w:t>
            </w:r>
          </w:p>
        </w:tc>
        <w:tc>
          <w:tcPr>
            <w:tcW w:type="dxa" w:w="1234"/>
          </w:tcPr>
          <w:p>
            <w:r>
              <w:rPr>
                <w:rFonts w:ascii="Calibri" w:hAnsi="Calibri"/>
                <w:sz w:val="22"/>
              </w:rPr>
              <w:t>23,500 – 24,000</w:t>
            </w:r>
          </w:p>
        </w:tc>
        <w:tc>
          <w:tcPr>
            <w:tcW w:type="dxa" w:w="1234"/>
          </w:tcPr>
          <w:p>
            <w:r>
              <w:rPr>
                <w:rFonts w:ascii="Calibri" w:hAnsi="Calibri"/>
                <w:sz w:val="22"/>
              </w:rPr>
              <w:t>+0.3% vs. midpoint (23,750)</w:t>
            </w:r>
          </w:p>
        </w:tc>
      </w:tr>
      <w:tr>
        <w:tc>
          <w:tcPr>
            <w:tcW w:type="dxa" w:w="1234"/>
          </w:tcPr>
          <w:p>
            <w:r>
              <w:rPr>
                <w:rFonts w:ascii="Calibri" w:hAnsi="Calibri"/>
                <w:sz w:val="22"/>
              </w:rPr>
              <w:t>Home Sales ASP ($K)</w:t>
            </w:r>
          </w:p>
        </w:tc>
        <w:tc>
          <w:tcPr>
            <w:tcW w:type="dxa" w:w="1234"/>
          </w:tcPr>
          <w:p>
            <w:r>
              <w:rPr>
                <w:rFonts w:ascii="Calibri" w:hAnsi="Calibri"/>
                <w:sz w:val="22"/>
              </w:rPr>
              <w:t>$361.6K</w:t>
            </w:r>
          </w:p>
        </w:tc>
        <w:tc>
          <w:tcPr>
            <w:tcW w:type="dxa" w:w="1234"/>
          </w:tcPr>
          <w:p>
            <w:r>
              <w:rPr>
                <w:rFonts w:ascii="Calibri" w:hAnsi="Calibri"/>
                <w:sz w:val="22"/>
              </w:rPr>
              <w:t>$369.6K</w:t>
            </w:r>
          </w:p>
        </w:tc>
        <w:tc>
          <w:tcPr>
            <w:tcW w:type="dxa" w:w="1234"/>
          </w:tcPr>
          <w:p>
            <w:r>
              <w:rPr>
                <w:rFonts w:ascii="Calibri" w:hAnsi="Calibri"/>
                <w:sz w:val="22"/>
              </w:rPr>
              <w:t>$361.3K</w:t>
            </w:r>
          </w:p>
        </w:tc>
        <w:tc>
          <w:tcPr>
            <w:tcW w:type="dxa" w:w="1234"/>
          </w:tcPr>
          <w:p>
            <w:r>
              <w:rPr>
                <w:rFonts w:ascii="Calibri" w:hAnsi="Calibri"/>
                <w:sz w:val="22"/>
              </w:rPr>
              <w:t>-2.2% vs. PY</w:t>
            </w:r>
          </w:p>
        </w:tc>
        <w:tc>
          <w:tcPr>
            <w:tcW w:type="dxa" w:w="1234"/>
          </w:tcPr>
          <w:p>
            <w:r>
              <w:rPr>
                <w:rFonts w:ascii="Calibri" w:hAnsi="Calibri"/>
                <w:sz w:val="22"/>
              </w:rPr>
              <w:t>No specific guidance (mgmt. expects no ASP recovery in H2)</w:t>
            </w:r>
          </w:p>
        </w:tc>
        <w:tc>
          <w:tcPr>
            <w:tcW w:type="dxa" w:w="1234"/>
          </w:tcPr>
          <w:p>
            <w:r>
              <w:rPr>
                <w:rFonts w:ascii="Calibri" w:hAnsi="Calibri"/>
                <w:sz w:val="22"/>
              </w:rPr>
              <w:t>N/A</w:t>
            </w:r>
          </w:p>
        </w:tc>
      </w:tr>
      <w:tr>
        <w:tc>
          <w:tcPr>
            <w:tcW w:type="dxa" w:w="1234"/>
          </w:tcPr>
          <w:p>
            <w:r>
              <w:rPr>
                <w:rFonts w:ascii="Calibri" w:hAnsi="Calibri"/>
                <w:sz w:val="22"/>
              </w:rPr>
              <w:t>Net New Orders (#)</w:t>
            </w:r>
          </w:p>
        </w:tc>
        <w:tc>
          <w:tcPr>
            <w:tcW w:type="dxa" w:w="1234"/>
          </w:tcPr>
          <w:p>
            <w:r>
              <w:rPr>
                <w:rFonts w:ascii="Calibri" w:hAnsi="Calibri"/>
                <w:sz w:val="22"/>
              </w:rPr>
              <w:t>24,992</w:t>
            </w:r>
          </w:p>
        </w:tc>
        <w:tc>
          <w:tcPr>
            <w:tcW w:type="dxa" w:w="1234"/>
          </w:tcPr>
          <w:p>
            <w:r>
              <w:rPr>
                <w:rFonts w:ascii="Calibri" w:hAnsi="Calibri"/>
                <w:sz w:val="22"/>
              </w:rPr>
              <w:t>23,071</w:t>
            </w:r>
          </w:p>
        </w:tc>
        <w:tc>
          <w:tcPr>
            <w:tcW w:type="dxa" w:w="1234"/>
          </w:tcPr>
          <w:p>
            <w:r>
              <w:rPr>
                <w:rFonts w:ascii="Calibri" w:hAnsi="Calibri"/>
                <w:sz w:val="22"/>
              </w:rPr>
              <w:t>24,129</w:t>
            </w:r>
          </w:p>
        </w:tc>
        <w:tc>
          <w:tcPr>
            <w:tcW w:type="dxa" w:w="1234"/>
          </w:tcPr>
          <w:p>
            <w:r>
              <w:rPr>
                <w:rFonts w:ascii="Calibri" w:hAnsi="Calibri"/>
                <w:sz w:val="22"/>
              </w:rPr>
              <w:t>+4.6% vs. PY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Net New Orders ASP ($K)</w:t>
            </w:r>
          </w:p>
        </w:tc>
        <w:tc>
          <w:tcPr>
            <w:tcW w:type="dxa" w:w="1234"/>
          </w:tcPr>
          <w:p>
            <w:r>
              <w:rPr>
                <w:rFonts w:ascii="Calibri" w:hAnsi="Calibri"/>
                <w:sz w:val="22"/>
              </w:rPr>
              <w:t>$366.3K</w:t>
            </w:r>
          </w:p>
        </w:tc>
        <w:tc>
          <w:tcPr>
            <w:tcW w:type="dxa" w:w="1234"/>
          </w:tcPr>
          <w:p>
            <w:r>
              <w:rPr>
                <w:rFonts w:ascii="Calibri" w:hAnsi="Calibri"/>
                <w:sz w:val="22"/>
              </w:rPr>
              <w:t>$365.1K</w:t>
            </w:r>
          </w:p>
        </w:tc>
        <w:tc>
          <w:tcPr>
            <w:tcW w:type="dxa" w:w="1234"/>
          </w:tcPr>
          <w:p>
            <w:r>
              <w:rPr>
                <w:rFonts w:ascii="Calibri" w:hAnsi="Calibri"/>
                <w:sz w:val="22"/>
              </w:rPr>
              <w:t>$361.0K</w:t>
            </w:r>
          </w:p>
        </w:tc>
        <w:tc>
          <w:tcPr>
            <w:tcW w:type="dxa" w:w="1234"/>
          </w:tcPr>
          <w:p>
            <w:r>
              <w:rPr>
                <w:rFonts w:ascii="Calibri" w:hAnsi="Calibri"/>
                <w:sz w:val="22"/>
              </w:rPr>
              <w:t>-1.1% vs. PY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Home Sales Gross Margin (%)</w:t>
            </w:r>
          </w:p>
        </w:tc>
        <w:tc>
          <w:tcPr>
            <w:tcW w:type="dxa" w:w="1234"/>
          </w:tcPr>
          <w:p>
            <w:r>
              <w:rPr>
                <w:rFonts w:ascii="Calibri" w:hAnsi="Calibri"/>
                <w:sz w:val="22"/>
              </w:rPr>
              <w:t>19.76%</w:t>
            </w:r>
          </w:p>
        </w:tc>
        <w:tc>
          <w:tcPr>
            <w:tcW w:type="dxa" w:w="1234"/>
          </w:tcPr>
          <w:p>
            <w:r>
              <w:rPr>
                <w:rFonts w:ascii="Calibri" w:hAnsi="Calibri"/>
                <w:sz w:val="22"/>
              </w:rPr>
              <w:t>21.21%</w:t>
            </w:r>
          </w:p>
        </w:tc>
        <w:tc>
          <w:tcPr>
            <w:tcW w:type="dxa" w:w="1234"/>
          </w:tcPr>
          <w:p>
            <w:r>
              <w:rPr>
                <w:rFonts w:ascii="Calibri" w:hAnsi="Calibri"/>
                <w:sz w:val="22"/>
              </w:rPr>
              <w:t>19.81%</w:t>
            </w:r>
          </w:p>
        </w:tc>
        <w:tc>
          <w:tcPr>
            <w:tcW w:type="dxa" w:w="1234"/>
          </w:tcPr>
          <w:p>
            <w:r>
              <w:rPr>
                <w:rFonts w:ascii="Calibri" w:hAnsi="Calibri"/>
                <w:sz w:val="22"/>
              </w:rPr>
              <w:t>-140 bps vs. PY</w:t>
            </w:r>
          </w:p>
        </w:tc>
        <w:tc>
          <w:tcPr>
            <w:tcW w:type="dxa" w:w="1234"/>
          </w:tcPr>
          <w:p>
            <w:r>
              <w:rPr>
                <w:rFonts w:ascii="Calibri" w:hAnsi="Calibri"/>
                <w:sz w:val="22"/>
              </w:rPr>
              <w:t>19.7% – 20.2%</w:t>
            </w:r>
          </w:p>
        </w:tc>
        <w:tc>
          <w:tcPr>
            <w:tcW w:type="dxa" w:w="1234"/>
          </w:tcPr>
          <w:p>
            <w:r>
              <w:rPr>
                <w:rFonts w:ascii="Calibri" w:hAnsi="Calibri"/>
                <w:sz w:val="22"/>
              </w:rPr>
              <w:t>-14 bps vs. midpoint (19.95%)</w:t>
            </w:r>
          </w:p>
        </w:tc>
      </w:tr>
      <w:tr>
        <w:tc>
          <w:tcPr>
            <w:tcW w:type="dxa" w:w="1234"/>
          </w:tcPr>
          <w:p>
            <w:r>
              <w:rPr>
                <w:rFonts w:ascii="Calibri" w:hAnsi="Calibri"/>
                <w:sz w:val="22"/>
              </w:rPr>
              <w:t>Diluted EPS — Operating ($)</w:t>
            </w:r>
          </w:p>
        </w:tc>
        <w:tc>
          <w:tcPr>
            <w:tcW w:type="dxa" w:w="1234"/>
          </w:tcPr>
          <w:p>
            <w:r>
              <w:rPr>
                <w:rFonts w:ascii="Calibri" w:hAnsi="Calibri"/>
                <w:sz w:val="22"/>
              </w:rPr>
              <w:t>$2.24</w:t>
            </w:r>
          </w:p>
        </w:tc>
        <w:tc>
          <w:tcPr>
            <w:tcW w:type="dxa" w:w="1234"/>
          </w:tcPr>
          <w:p>
            <w:r>
              <w:rPr>
                <w:rFonts w:ascii="Calibri" w:hAnsi="Calibri"/>
                <w:sz w:val="22"/>
              </w:rPr>
              <w:t>$3.36</w:t>
            </w:r>
          </w:p>
        </w:tc>
        <w:tc>
          <w:tcPr>
            <w:tcW w:type="dxa" w:w="1234"/>
          </w:tcPr>
          <w:p>
            <w:r>
              <w:rPr>
                <w:rFonts w:ascii="Calibri" w:hAnsi="Calibri"/>
                <w:sz w:val="22"/>
              </w:rPr>
              <w:t>$2.98</w:t>
            </w:r>
          </w:p>
        </w:tc>
        <w:tc>
          <w:tcPr>
            <w:tcW w:type="dxa" w:w="1234"/>
          </w:tcPr>
          <w:p>
            <w:r>
              <w:rPr>
                <w:rFonts w:ascii="Calibri" w:hAnsi="Calibri"/>
                <w:sz w:val="22"/>
              </w:rPr>
              <w:t>-11.3% vs. PY</w:t>
            </w:r>
          </w:p>
        </w:tc>
        <w:tc>
          <w:tcPr>
            <w:tcW w:type="dxa" w:w="1234"/>
          </w:tcPr>
          <w:p>
            <w:r>
              <w:rPr>
                <w:rFonts w:ascii="Calibri" w:hAnsi="Calibri"/>
                <w:sz w:val="22"/>
              </w:rPr>
              <w:t>Implied by pretax margin 12.2%–12.7%</w:t>
            </w:r>
          </w:p>
        </w:tc>
        <w:tc>
          <w:tcPr>
            <w:tcW w:type="dxa" w:w="1234"/>
          </w:tcPr>
          <w:p>
            <w:r>
              <w:rPr>
                <w:rFonts w:ascii="Calibri" w:hAnsi="Calibri"/>
                <w:sz w:val="22"/>
              </w:rPr>
              <w:t>~Midpoint</w:t>
            </w:r>
          </w:p>
        </w:tc>
      </w:tr>
      <w:tr>
        <w:tc>
          <w:tcPr>
            <w:tcW w:type="dxa" w:w="1234"/>
          </w:tcPr>
          <w:p>
            <w:r>
              <w:rPr>
                <w:rFonts w:ascii="Calibri" w:hAnsi="Calibri"/>
                <w:sz w:val="22"/>
              </w:rPr>
              <w:t>SG&amp;A ($M)</w:t>
            </w:r>
          </w:p>
        </w:tc>
        <w:tc>
          <w:tcPr>
            <w:tcW w:type="dxa" w:w="1234"/>
          </w:tcPr>
          <w:p>
            <w:r>
              <w:rPr>
                <w:rFonts w:ascii="Calibri" w:hAnsi="Calibri"/>
                <w:sz w:val="22"/>
              </w:rPr>
              <w:t>$903M</w:t>
            </w:r>
          </w:p>
        </w:tc>
        <w:tc>
          <w:tcPr>
            <w:tcW w:type="dxa" w:w="1234"/>
          </w:tcPr>
          <w:p>
            <w:r>
              <w:rPr>
                <w:rFonts w:ascii="Calibri" w:hAnsi="Calibri"/>
                <w:sz w:val="22"/>
              </w:rPr>
              <w:t>$944M</w:t>
            </w:r>
          </w:p>
        </w:tc>
        <w:tc>
          <w:tcPr>
            <w:tcW w:type="dxa" w:w="1234"/>
          </w:tcPr>
          <w:p>
            <w:r>
              <w:rPr>
                <w:rFonts w:ascii="Calibri" w:hAnsi="Calibri"/>
                <w:sz w:val="22"/>
              </w:rPr>
              <w:t>$966M</w:t>
            </w:r>
          </w:p>
        </w:tc>
        <w:tc>
          <w:tcPr>
            <w:tcW w:type="dxa" w:w="1234"/>
          </w:tcPr>
          <w:p>
            <w:r>
              <w:rPr>
                <w:rFonts w:ascii="Calibri" w:hAnsi="Calibri"/>
                <w:sz w:val="22"/>
              </w:rPr>
              <w:t>+2.3% vs. PY</w:t>
            </w:r>
          </w:p>
        </w:tc>
        <w:tc>
          <w:tcPr>
            <w:tcW w:type="dxa" w:w="1234"/>
          </w:tcPr>
          <w:p>
            <w:r>
              <w:rPr>
                <w:rFonts w:ascii="Calibri" w:hAnsi="Calibri"/>
                <w:sz w:val="22"/>
              </w:rPr>
              <w:t>Mgmt. expects leverage vs. recent quarters</w:t>
            </w:r>
          </w:p>
        </w:tc>
        <w:tc>
          <w:tcPr>
            <w:tcW w:type="dxa" w:w="1234"/>
          </w:tcPr>
          <w:p>
            <w:r>
              <w:rPr>
                <w:rFonts w:ascii="Calibri" w:hAnsi="Calibri"/>
                <w:sz w:val="22"/>
              </w:rPr>
              <w:t>N/A</w:t>
            </w:r>
          </w:p>
        </w:tc>
      </w:tr>
      <w:tr>
        <w:tc>
          <w:tcPr>
            <w:tcW w:type="dxa" w:w="1234"/>
          </w:tcPr>
          <w:p>
            <w:r>
              <w:rPr>
                <w:rFonts w:ascii="Calibri" w:hAnsi="Calibri"/>
                <w:sz w:val="22"/>
              </w:rPr>
              <w:t>Community Count (#, avg.)</w:t>
            </w:r>
          </w:p>
        </w:tc>
        <w:tc>
          <w:tcPr>
            <w:tcW w:type="dxa" w:w="1234"/>
          </w:tcPr>
          <w:p>
            <w:r>
              <w:rPr>
                <w:rFonts w:ascii="Calibri" w:hAnsi="Calibri"/>
                <w:sz w:val="22"/>
              </w:rPr>
              <w:t>2,091</w:t>
            </w:r>
          </w:p>
        </w:tc>
        <w:tc>
          <w:tcPr>
            <w:tcW w:type="dxa" w:w="1234"/>
          </w:tcPr>
          <w:p>
            <w:r>
              <w:rPr>
                <w:rFonts w:ascii="Calibri" w:hAnsi="Calibri"/>
                <w:sz w:val="22"/>
              </w:rPr>
              <w:t>1,937</w:t>
            </w:r>
          </w:p>
        </w:tc>
        <w:tc>
          <w:tcPr>
            <w:tcW w:type="dxa" w:w="1234"/>
          </w:tcPr>
          <w:p>
            <w:r>
              <w:rPr>
                <w:rFonts w:ascii="Calibri" w:hAnsi="Calibri"/>
                <w:sz w:val="22"/>
              </w:rPr>
              <w:t>2,131</w:t>
            </w:r>
          </w:p>
        </w:tc>
        <w:tc>
          <w:tcPr>
            <w:tcW w:type="dxa" w:w="1234"/>
          </w:tcPr>
          <w:p>
            <w:r>
              <w:rPr>
                <w:rFonts w:ascii="Calibri" w:hAnsi="Calibri"/>
                <w:sz w:val="22"/>
              </w:rPr>
              <w:t>+10.0% vs. PY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Cancellation Rate (%)</w:t>
            </w:r>
          </w:p>
        </w:tc>
        <w:tc>
          <w:tcPr>
            <w:tcW w:type="dxa" w:w="1234"/>
          </w:tcPr>
          <w:p>
            <w:r>
              <w:rPr>
                <w:rFonts w:ascii="Calibri" w:hAnsi="Calibri"/>
                <w:sz w:val="22"/>
              </w:rPr>
              <w:t>16%</w:t>
            </w:r>
          </w:p>
        </w:tc>
        <w:tc>
          <w:tcPr>
            <w:tcW w:type="dxa" w:w="1234"/>
          </w:tcPr>
          <w:p>
            <w:r>
              <w:rPr>
                <w:rFonts w:ascii="Calibri" w:hAnsi="Calibri"/>
                <w:sz w:val="22"/>
              </w:rPr>
              <w:t>17%</w:t>
            </w:r>
          </w:p>
        </w:tc>
        <w:tc>
          <w:tcPr>
            <w:tcW w:type="dxa" w:w="1234"/>
          </w:tcPr>
          <w:p>
            <w:r>
              <w:rPr>
                <w:rFonts w:ascii="Calibri" w:hAnsi="Calibri"/>
                <w:sz w:val="22"/>
              </w:rPr>
              <w:t>~19.6% (cons.)</w:t>
            </w:r>
          </w:p>
        </w:tc>
        <w:tc>
          <w:tcPr>
            <w:tcW w:type="dxa" w:w="1234"/>
          </w:tcPr>
          <w:p>
            <w:r>
              <w:rPr>
                <w:rFonts w:ascii="Calibri" w:hAnsi="Calibri"/>
                <w:sz w:val="22"/>
              </w:rPr>
              <w:t>N/A</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Backlog Volume (#)</w:t>
            </w:r>
          </w:p>
        </w:tc>
        <w:tc>
          <w:tcPr>
            <w:tcW w:type="dxa" w:w="1234"/>
          </w:tcPr>
          <w:p>
            <w:r>
              <w:rPr>
                <w:rFonts w:ascii="Calibri" w:hAnsi="Calibri"/>
                <w:sz w:val="22"/>
              </w:rPr>
              <w:t>16,882</w:t>
            </w:r>
          </w:p>
        </w:tc>
        <w:tc>
          <w:tcPr>
            <w:tcW w:type="dxa" w:w="1234"/>
          </w:tcPr>
          <w:p>
            <w:r>
              <w:rPr>
                <w:rFonts w:ascii="Calibri" w:hAnsi="Calibri"/>
                <w:sz w:val="22"/>
              </w:rPr>
              <w:t>14,075</w:t>
            </w:r>
          </w:p>
        </w:tc>
        <w:tc>
          <w:tcPr>
            <w:tcW w:type="dxa" w:w="1234"/>
          </w:tcPr>
          <w:p>
            <w:r>
              <w:rPr>
                <w:rFonts w:ascii="Calibri" w:hAnsi="Calibri"/>
                <w:sz w:val="22"/>
              </w:rPr>
              <w:t>17,233</w:t>
            </w:r>
          </w:p>
        </w:tc>
        <w:tc>
          <w:tcPr>
            <w:tcW w:type="dxa" w:w="1234"/>
          </w:tcPr>
          <w:p>
            <w:r>
              <w:rPr>
                <w:rFonts w:ascii="Calibri" w:hAnsi="Calibri"/>
                <w:sz w:val="22"/>
              </w:rPr>
              <w:t>+22.4% vs. PY</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latest available. Q3 FY2026 guidance from DHI Q2 FY2026 earnings call (April 21, 2026).</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Home Sales Gross Margin (%) and Net New Orders (#)</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Gross Margin — Reported</w:t>
            </w:r>
          </w:p>
        </w:tc>
        <w:tc>
          <w:tcPr>
            <w:tcW w:type="dxa" w:w="1234"/>
            <w:shd w:val="clear" w:color="auto" w:fill="3B4259"/>
          </w:tcPr>
          <w:p>
            <w:r>
              <w:rPr>
                <w:rFonts w:ascii="Calibri" w:hAnsi="Calibri"/>
                <w:b/>
                <w:color w:val="FFFFFF"/>
                <w:sz w:val="22"/>
              </w:rPr>
              <w:t>Gross Margin — Consensus</w:t>
            </w:r>
          </w:p>
        </w:tc>
        <w:tc>
          <w:tcPr>
            <w:tcW w:type="dxa" w:w="1234"/>
            <w:shd w:val="clear" w:color="auto" w:fill="3B4259"/>
          </w:tcPr>
          <w:p>
            <w:r>
              <w:rPr>
                <w:rFonts w:ascii="Calibri" w:hAnsi="Calibri"/>
                <w:b/>
                <w:color w:val="FFFFFF"/>
                <w:sz w:val="22"/>
              </w:rPr>
              <w:t>GM Surprise</w:t>
            </w:r>
          </w:p>
        </w:tc>
        <w:tc>
          <w:tcPr>
            <w:tcW w:type="dxa" w:w="1234"/>
            <w:shd w:val="clear" w:color="auto" w:fill="3B4259"/>
          </w:tcPr>
          <w:p>
            <w:r>
              <w:rPr>
                <w:rFonts w:ascii="Calibri" w:hAnsi="Calibri"/>
                <w:b/>
                <w:color w:val="FFFFFF"/>
                <w:sz w:val="22"/>
              </w:rPr>
              <w:t>Net Orders — Reported</w:t>
            </w:r>
          </w:p>
        </w:tc>
        <w:tc>
          <w:tcPr>
            <w:tcW w:type="dxa" w:w="1234"/>
            <w:shd w:val="clear" w:color="auto" w:fill="3B4259"/>
          </w:tcPr>
          <w:p>
            <w:r>
              <w:rPr>
                <w:rFonts w:ascii="Calibri" w:hAnsi="Calibri"/>
                <w:b/>
                <w:color w:val="FFFFFF"/>
                <w:sz w:val="22"/>
              </w:rPr>
              <w:t>Net Orders — Consensus</w:t>
            </w:r>
          </w:p>
        </w:tc>
        <w:tc>
          <w:tcPr>
            <w:tcW w:type="dxa" w:w="1234"/>
            <w:shd w:val="clear" w:color="auto" w:fill="3B4259"/>
          </w:tcPr>
          <w:p>
            <w:r>
              <w:rPr>
                <w:rFonts w:ascii="Calibri" w:hAnsi="Calibri"/>
                <w:b/>
                <w:color w:val="FFFFFF"/>
                <w:sz w:val="22"/>
              </w:rPr>
              <w:t>Orders Surprise</w:t>
            </w:r>
          </w:p>
        </w:tc>
      </w:tr>
      <w:tr>
        <w:tc>
          <w:tcPr>
            <w:tcW w:type="dxa" w:w="1234"/>
          </w:tcPr>
          <w:p>
            <w:r>
              <w:rPr>
                <w:rFonts w:ascii="Calibri" w:hAnsi="Calibri"/>
                <w:sz w:val="22"/>
              </w:rPr>
              <w:t>Q3 FY2024</w:t>
            </w:r>
          </w:p>
        </w:tc>
        <w:tc>
          <w:tcPr>
            <w:tcW w:type="dxa" w:w="1234"/>
          </w:tcPr>
          <w:p>
            <w:r>
              <w:rPr>
                <w:rFonts w:ascii="Calibri" w:hAnsi="Calibri"/>
                <w:sz w:val="22"/>
              </w:rPr>
              <w:t>23.87%</w:t>
            </w:r>
          </w:p>
        </w:tc>
        <w:tc>
          <w:tcPr>
            <w:tcW w:type="dxa" w:w="1234"/>
          </w:tcPr>
          <w:p>
            <w:r>
              <w:rPr>
                <w:rFonts w:ascii="Calibri" w:hAnsi="Calibri"/>
                <w:sz w:val="22"/>
              </w:rPr>
              <w:t>23.44%</w:t>
            </w:r>
          </w:p>
        </w:tc>
        <w:tc>
          <w:tcPr>
            <w:tcW w:type="dxa" w:w="1234"/>
          </w:tcPr>
          <w:p>
            <w:r>
              <w:rPr>
                <w:rFonts w:ascii="Calibri" w:hAnsi="Calibri"/>
                <w:b/>
                <w:color w:val="30A46C"/>
                <w:sz w:val="22"/>
              </w:rPr>
              <w:t>+43 bps</w:t>
            </w:r>
          </w:p>
        </w:tc>
        <w:tc>
          <w:tcPr>
            <w:tcW w:type="dxa" w:w="1234"/>
          </w:tcPr>
          <w:p>
            <w:r>
              <w:rPr>
                <w:rFonts w:ascii="Calibri" w:hAnsi="Calibri"/>
                <w:sz w:val="22"/>
              </w:rPr>
              <w:t>23,001</w:t>
            </w:r>
          </w:p>
        </w:tc>
        <w:tc>
          <w:tcPr>
            <w:tcW w:type="dxa" w:w="1234"/>
          </w:tcPr>
          <w:p>
            <w:r>
              <w:rPr>
                <w:rFonts w:ascii="Calibri" w:hAnsi="Calibri"/>
                <w:sz w:val="22"/>
              </w:rPr>
              <w:t>24,664</w:t>
            </w:r>
          </w:p>
        </w:tc>
        <w:tc>
          <w:tcPr>
            <w:tcW w:type="dxa" w:w="1234"/>
          </w:tcPr>
          <w:p>
            <w:r>
              <w:rPr>
                <w:rFonts w:ascii="Calibri" w:hAnsi="Calibri"/>
                <w:b/>
                <w:color w:val="E5484D"/>
                <w:sz w:val="22"/>
              </w:rPr>
              <w:t>-6.7%</w:t>
            </w:r>
          </w:p>
        </w:tc>
      </w:tr>
      <w:tr>
        <w:tc>
          <w:tcPr>
            <w:tcW w:type="dxa" w:w="1234"/>
          </w:tcPr>
          <w:p>
            <w:r>
              <w:rPr>
                <w:rFonts w:ascii="Calibri" w:hAnsi="Calibri"/>
                <w:sz w:val="22"/>
              </w:rPr>
              <w:t>Q4 FY2024</w:t>
            </w:r>
          </w:p>
        </w:tc>
        <w:tc>
          <w:tcPr>
            <w:tcW w:type="dxa" w:w="1234"/>
          </w:tcPr>
          <w:p>
            <w:r>
              <w:rPr>
                <w:rFonts w:ascii="Calibri" w:hAnsi="Calibri"/>
                <w:sz w:val="22"/>
              </w:rPr>
              <w:t>23.17%</w:t>
            </w:r>
          </w:p>
        </w:tc>
        <w:tc>
          <w:tcPr>
            <w:tcW w:type="dxa" w:w="1234"/>
          </w:tcPr>
          <w:p>
            <w:r>
              <w:rPr>
                <w:rFonts w:ascii="Calibri" w:hAnsi="Calibri"/>
                <w:sz w:val="22"/>
              </w:rPr>
              <w:t>24.19%</w:t>
            </w:r>
          </w:p>
        </w:tc>
        <w:tc>
          <w:tcPr>
            <w:tcW w:type="dxa" w:w="1234"/>
          </w:tcPr>
          <w:p>
            <w:r>
              <w:rPr>
                <w:rFonts w:ascii="Calibri" w:hAnsi="Calibri"/>
                <w:b/>
                <w:color w:val="E5484D"/>
                <w:sz w:val="22"/>
              </w:rPr>
              <w:t>-102 bps</w:t>
            </w:r>
          </w:p>
        </w:tc>
        <w:tc>
          <w:tcPr>
            <w:tcW w:type="dxa" w:w="1234"/>
          </w:tcPr>
          <w:p>
            <w:r>
              <w:rPr>
                <w:rFonts w:ascii="Calibri" w:hAnsi="Calibri"/>
                <w:sz w:val="22"/>
              </w:rPr>
              <w:t>19,035</w:t>
            </w:r>
          </w:p>
        </w:tc>
        <w:tc>
          <w:tcPr>
            <w:tcW w:type="dxa" w:w="1234"/>
          </w:tcPr>
          <w:p>
            <w:r>
              <w:rPr>
                <w:rFonts w:ascii="Calibri" w:hAnsi="Calibri"/>
                <w:sz w:val="22"/>
              </w:rPr>
              <w:t>19,995</w:t>
            </w:r>
          </w:p>
        </w:tc>
        <w:tc>
          <w:tcPr>
            <w:tcW w:type="dxa" w:w="1234"/>
          </w:tcPr>
          <w:p>
            <w:r>
              <w:rPr>
                <w:rFonts w:ascii="Calibri" w:hAnsi="Calibri"/>
                <w:b/>
                <w:color w:val="E5484D"/>
                <w:sz w:val="22"/>
              </w:rPr>
              <w:t>-4.8%</w:t>
            </w:r>
          </w:p>
        </w:tc>
      </w:tr>
      <w:tr>
        <w:tc>
          <w:tcPr>
            <w:tcW w:type="dxa" w:w="1234"/>
          </w:tcPr>
          <w:p>
            <w:r>
              <w:rPr>
                <w:rFonts w:ascii="Calibri" w:hAnsi="Calibri"/>
                <w:sz w:val="22"/>
              </w:rPr>
              <w:t>Q1 FY2025</w:t>
            </w:r>
          </w:p>
        </w:tc>
        <w:tc>
          <w:tcPr>
            <w:tcW w:type="dxa" w:w="1234"/>
          </w:tcPr>
          <w:p>
            <w:r>
              <w:rPr>
                <w:rFonts w:ascii="Calibri" w:hAnsi="Calibri"/>
                <w:sz w:val="22"/>
              </w:rPr>
              <w:t>22.60%</w:t>
            </w:r>
          </w:p>
        </w:tc>
        <w:tc>
          <w:tcPr>
            <w:tcW w:type="dxa" w:w="1234"/>
          </w:tcPr>
          <w:p>
            <w:r>
              <w:rPr>
                <w:rFonts w:ascii="Calibri" w:hAnsi="Calibri"/>
                <w:sz w:val="22"/>
              </w:rPr>
              <w:t>22.57%</w:t>
            </w:r>
          </w:p>
        </w:tc>
        <w:tc>
          <w:tcPr>
            <w:tcW w:type="dxa" w:w="1234"/>
          </w:tcPr>
          <w:p>
            <w:r>
              <w:rPr>
                <w:rFonts w:ascii="Calibri" w:hAnsi="Calibri"/>
                <w:b/>
                <w:color w:val="30A46C"/>
                <w:sz w:val="22"/>
              </w:rPr>
              <w:t>+3 bps</w:t>
            </w:r>
          </w:p>
        </w:tc>
        <w:tc>
          <w:tcPr>
            <w:tcW w:type="dxa" w:w="1234"/>
          </w:tcPr>
          <w:p>
            <w:r>
              <w:rPr>
                <w:rFonts w:ascii="Calibri" w:hAnsi="Calibri"/>
                <w:sz w:val="22"/>
              </w:rPr>
              <w:t>17,837</w:t>
            </w:r>
          </w:p>
        </w:tc>
        <w:tc>
          <w:tcPr>
            <w:tcW w:type="dxa" w:w="1234"/>
          </w:tcPr>
          <w:p>
            <w:r>
              <w:rPr>
                <w:rFonts w:ascii="Calibri" w:hAnsi="Calibri"/>
                <w:sz w:val="22"/>
              </w:rPr>
              <w:t>18,548</w:t>
            </w:r>
          </w:p>
        </w:tc>
        <w:tc>
          <w:tcPr>
            <w:tcW w:type="dxa" w:w="1234"/>
          </w:tcPr>
          <w:p>
            <w:r>
              <w:rPr>
                <w:rFonts w:ascii="Calibri" w:hAnsi="Calibri"/>
                <w:b/>
                <w:color w:val="E5484D"/>
                <w:sz w:val="22"/>
              </w:rPr>
              <w:t>-3.8%</w:t>
            </w:r>
          </w:p>
        </w:tc>
      </w:tr>
      <w:tr>
        <w:tc>
          <w:tcPr>
            <w:tcW w:type="dxa" w:w="1234"/>
          </w:tcPr>
          <w:p>
            <w:r>
              <w:rPr>
                <w:rFonts w:ascii="Calibri" w:hAnsi="Calibri"/>
                <w:sz w:val="22"/>
              </w:rPr>
              <w:t>Q2 FY2025</w:t>
            </w:r>
          </w:p>
        </w:tc>
        <w:tc>
          <w:tcPr>
            <w:tcW w:type="dxa" w:w="1234"/>
          </w:tcPr>
          <w:p>
            <w:r>
              <w:rPr>
                <w:rFonts w:ascii="Calibri" w:hAnsi="Calibri"/>
                <w:sz w:val="22"/>
              </w:rPr>
              <w:t>21.60%</w:t>
            </w:r>
          </w:p>
        </w:tc>
        <w:tc>
          <w:tcPr>
            <w:tcW w:type="dxa" w:w="1234"/>
          </w:tcPr>
          <w:p>
            <w:r>
              <w:rPr>
                <w:rFonts w:ascii="Calibri" w:hAnsi="Calibri"/>
                <w:sz w:val="22"/>
              </w:rPr>
              <w:t>21.81%</w:t>
            </w:r>
          </w:p>
        </w:tc>
        <w:tc>
          <w:tcPr>
            <w:tcW w:type="dxa" w:w="1234"/>
          </w:tcPr>
          <w:p>
            <w:r>
              <w:rPr>
                <w:rFonts w:ascii="Calibri" w:hAnsi="Calibri"/>
                <w:b/>
                <w:color w:val="E5484D"/>
                <w:sz w:val="22"/>
              </w:rPr>
              <w:t>-21 bps</w:t>
            </w:r>
          </w:p>
        </w:tc>
        <w:tc>
          <w:tcPr>
            <w:tcW w:type="dxa" w:w="1234"/>
          </w:tcPr>
          <w:p>
            <w:r>
              <w:rPr>
                <w:rFonts w:ascii="Calibri" w:hAnsi="Calibri"/>
                <w:sz w:val="22"/>
              </w:rPr>
              <w:t>22,437</w:t>
            </w:r>
          </w:p>
        </w:tc>
        <w:tc>
          <w:tcPr>
            <w:tcW w:type="dxa" w:w="1234"/>
          </w:tcPr>
          <w:p>
            <w:r>
              <w:rPr>
                <w:rFonts w:ascii="Calibri" w:hAnsi="Calibri"/>
                <w:sz w:val="22"/>
              </w:rPr>
              <w:t>26,385</w:t>
            </w:r>
          </w:p>
        </w:tc>
        <w:tc>
          <w:tcPr>
            <w:tcW w:type="dxa" w:w="1234"/>
          </w:tcPr>
          <w:p>
            <w:r>
              <w:rPr>
                <w:rFonts w:ascii="Calibri" w:hAnsi="Calibri"/>
                <w:b/>
                <w:color w:val="E5484D"/>
                <w:sz w:val="22"/>
              </w:rPr>
              <w:t>-15.0%</w:t>
            </w:r>
          </w:p>
        </w:tc>
      </w:tr>
      <w:tr>
        <w:tc>
          <w:tcPr>
            <w:tcW w:type="dxa" w:w="1234"/>
          </w:tcPr>
          <w:p>
            <w:r>
              <w:rPr>
                <w:rFonts w:ascii="Calibri" w:hAnsi="Calibri"/>
                <w:sz w:val="22"/>
              </w:rPr>
              <w:t>Q3 FY2025</w:t>
            </w:r>
          </w:p>
        </w:tc>
        <w:tc>
          <w:tcPr>
            <w:tcW w:type="dxa" w:w="1234"/>
          </w:tcPr>
          <w:p>
            <w:r>
              <w:rPr>
                <w:rFonts w:ascii="Calibri" w:hAnsi="Calibri"/>
                <w:sz w:val="22"/>
              </w:rPr>
              <w:t>21.21%</w:t>
            </w:r>
          </w:p>
        </w:tc>
        <w:tc>
          <w:tcPr>
            <w:tcW w:type="dxa" w:w="1234"/>
          </w:tcPr>
          <w:p>
            <w:r>
              <w:rPr>
                <w:rFonts w:ascii="Calibri" w:hAnsi="Calibri"/>
                <w:sz w:val="22"/>
              </w:rPr>
              <w:t>21.38%</w:t>
            </w:r>
          </w:p>
        </w:tc>
        <w:tc>
          <w:tcPr>
            <w:tcW w:type="dxa" w:w="1234"/>
          </w:tcPr>
          <w:p>
            <w:r>
              <w:rPr>
                <w:rFonts w:ascii="Calibri" w:hAnsi="Calibri"/>
                <w:b/>
                <w:color w:val="E5484D"/>
                <w:sz w:val="22"/>
              </w:rPr>
              <w:t>-17 bps</w:t>
            </w:r>
          </w:p>
        </w:tc>
        <w:tc>
          <w:tcPr>
            <w:tcW w:type="dxa" w:w="1234"/>
          </w:tcPr>
          <w:p>
            <w:r>
              <w:rPr>
                <w:rFonts w:ascii="Calibri" w:hAnsi="Calibri"/>
                <w:sz w:val="22"/>
              </w:rPr>
              <w:t>23,071</w:t>
            </w:r>
          </w:p>
        </w:tc>
        <w:tc>
          <w:tcPr>
            <w:tcW w:type="dxa" w:w="1234"/>
          </w:tcPr>
          <w:p>
            <w:r>
              <w:rPr>
                <w:rFonts w:ascii="Calibri" w:hAnsi="Calibri"/>
                <w:sz w:val="22"/>
              </w:rPr>
              <w:t>21,982</w:t>
            </w:r>
          </w:p>
        </w:tc>
        <w:tc>
          <w:tcPr>
            <w:tcW w:type="dxa" w:w="1234"/>
          </w:tcPr>
          <w:p>
            <w:r>
              <w:rPr>
                <w:rFonts w:ascii="Calibri" w:hAnsi="Calibri"/>
                <w:b/>
                <w:color w:val="30A46C"/>
                <w:sz w:val="22"/>
              </w:rPr>
              <w:t>+5.0%</w:t>
            </w:r>
          </w:p>
        </w:tc>
      </w:tr>
      <w:tr>
        <w:tc>
          <w:tcPr>
            <w:tcW w:type="dxa" w:w="1234"/>
          </w:tcPr>
          <w:p>
            <w:r>
              <w:rPr>
                <w:rFonts w:ascii="Calibri" w:hAnsi="Calibri"/>
                <w:sz w:val="22"/>
              </w:rPr>
              <w:t>Q4 FY2025</w:t>
            </w:r>
          </w:p>
        </w:tc>
        <w:tc>
          <w:tcPr>
            <w:tcW w:type="dxa" w:w="1234"/>
          </w:tcPr>
          <w:p>
            <w:r>
              <w:rPr>
                <w:rFonts w:ascii="Calibri" w:hAnsi="Calibri"/>
                <w:sz w:val="22"/>
              </w:rPr>
              <w:t>19.39%</w:t>
            </w:r>
          </w:p>
        </w:tc>
        <w:tc>
          <w:tcPr>
            <w:tcW w:type="dxa" w:w="1234"/>
          </w:tcPr>
          <w:p>
            <w:r>
              <w:rPr>
                <w:rFonts w:ascii="Calibri" w:hAnsi="Calibri"/>
                <w:sz w:val="22"/>
              </w:rPr>
              <w:t>21.31%</w:t>
            </w:r>
          </w:p>
        </w:tc>
        <w:tc>
          <w:tcPr>
            <w:tcW w:type="dxa" w:w="1234"/>
          </w:tcPr>
          <w:p>
            <w:r>
              <w:rPr>
                <w:rFonts w:ascii="Calibri" w:hAnsi="Calibri"/>
                <w:b/>
                <w:color w:val="E5484D"/>
                <w:sz w:val="22"/>
              </w:rPr>
              <w:t>-192 bps</w:t>
            </w:r>
          </w:p>
        </w:tc>
        <w:tc>
          <w:tcPr>
            <w:tcW w:type="dxa" w:w="1234"/>
          </w:tcPr>
          <w:p>
            <w:r>
              <w:rPr>
                <w:rFonts w:ascii="Calibri" w:hAnsi="Calibri"/>
                <w:sz w:val="22"/>
              </w:rPr>
              <w:t>20,078</w:t>
            </w:r>
          </w:p>
        </w:tc>
        <w:tc>
          <w:tcPr>
            <w:tcW w:type="dxa" w:w="1234"/>
          </w:tcPr>
          <w:p>
            <w:r>
              <w:rPr>
                <w:rFonts w:ascii="Calibri" w:hAnsi="Calibri"/>
                <w:sz w:val="22"/>
              </w:rPr>
              <w:t>19,825</w:t>
            </w:r>
          </w:p>
        </w:tc>
        <w:tc>
          <w:tcPr>
            <w:tcW w:type="dxa" w:w="1234"/>
          </w:tcPr>
          <w:p>
            <w:r>
              <w:rPr>
                <w:rFonts w:ascii="Calibri" w:hAnsi="Calibri"/>
                <w:b/>
                <w:color w:val="30A46C"/>
                <w:sz w:val="22"/>
              </w:rPr>
              <w:t>+1.3%</w:t>
            </w:r>
          </w:p>
        </w:tc>
      </w:tr>
      <w:tr>
        <w:tc>
          <w:tcPr>
            <w:tcW w:type="dxa" w:w="1234"/>
          </w:tcPr>
          <w:p>
            <w:r>
              <w:rPr>
                <w:rFonts w:ascii="Calibri" w:hAnsi="Calibri"/>
                <w:sz w:val="22"/>
              </w:rPr>
              <w:t>Q1 FY2026</w:t>
            </w:r>
          </w:p>
        </w:tc>
        <w:tc>
          <w:tcPr>
            <w:tcW w:type="dxa" w:w="1234"/>
          </w:tcPr>
          <w:p>
            <w:r>
              <w:rPr>
                <w:rFonts w:ascii="Calibri" w:hAnsi="Calibri"/>
                <w:sz w:val="22"/>
              </w:rPr>
              <w:t>20.27%</w:t>
            </w:r>
          </w:p>
        </w:tc>
        <w:tc>
          <w:tcPr>
            <w:tcW w:type="dxa" w:w="1234"/>
          </w:tcPr>
          <w:p>
            <w:r>
              <w:rPr>
                <w:rFonts w:ascii="Calibri" w:hAnsi="Calibri"/>
                <w:sz w:val="22"/>
              </w:rPr>
              <w:t>20.07%</w:t>
            </w:r>
          </w:p>
        </w:tc>
        <w:tc>
          <w:tcPr>
            <w:tcW w:type="dxa" w:w="1234"/>
          </w:tcPr>
          <w:p>
            <w:r>
              <w:rPr>
                <w:rFonts w:ascii="Calibri" w:hAnsi="Calibri"/>
                <w:b/>
                <w:color w:val="30A46C"/>
                <w:sz w:val="22"/>
              </w:rPr>
              <w:t>+20 bps</w:t>
            </w:r>
          </w:p>
        </w:tc>
        <w:tc>
          <w:tcPr>
            <w:tcW w:type="dxa" w:w="1234"/>
          </w:tcPr>
          <w:p>
            <w:r>
              <w:rPr>
                <w:rFonts w:ascii="Calibri" w:hAnsi="Calibri"/>
                <w:sz w:val="22"/>
              </w:rPr>
              <w:t>18,300</w:t>
            </w:r>
          </w:p>
        </w:tc>
        <w:tc>
          <w:tcPr>
            <w:tcW w:type="dxa" w:w="1234"/>
          </w:tcPr>
          <w:p>
            <w:r>
              <w:rPr>
                <w:rFonts w:ascii="Calibri" w:hAnsi="Calibri"/>
                <w:sz w:val="22"/>
              </w:rPr>
              <w:t>18,706</w:t>
            </w:r>
          </w:p>
        </w:tc>
        <w:tc>
          <w:tcPr>
            <w:tcW w:type="dxa" w:w="1234"/>
          </w:tcPr>
          <w:p>
            <w:r>
              <w:rPr>
                <w:rFonts w:ascii="Calibri" w:hAnsi="Calibri"/>
                <w:b/>
                <w:color w:val="E5484D"/>
                <w:sz w:val="22"/>
              </w:rPr>
              <w:t>-2.2%</w:t>
            </w:r>
          </w:p>
        </w:tc>
      </w:tr>
      <w:tr>
        <w:tc>
          <w:tcPr>
            <w:tcW w:type="dxa" w:w="1234"/>
          </w:tcPr>
          <w:p>
            <w:r>
              <w:rPr>
                <w:rFonts w:ascii="Calibri" w:hAnsi="Calibri"/>
                <w:sz w:val="22"/>
              </w:rPr>
              <w:t>Q2 FY2026</w:t>
            </w:r>
          </w:p>
        </w:tc>
        <w:tc>
          <w:tcPr>
            <w:tcW w:type="dxa" w:w="1234"/>
          </w:tcPr>
          <w:p>
            <w:r>
              <w:rPr>
                <w:rFonts w:ascii="Calibri" w:hAnsi="Calibri"/>
                <w:sz w:val="22"/>
              </w:rPr>
              <w:t>19.76%</w:t>
            </w:r>
          </w:p>
        </w:tc>
        <w:tc>
          <w:tcPr>
            <w:tcW w:type="dxa" w:w="1234"/>
          </w:tcPr>
          <w:p>
            <w:r>
              <w:rPr>
                <w:rFonts w:ascii="Calibri" w:hAnsi="Calibri"/>
                <w:sz w:val="22"/>
              </w:rPr>
              <w:t>19.26%</w:t>
            </w:r>
          </w:p>
        </w:tc>
        <w:tc>
          <w:tcPr>
            <w:tcW w:type="dxa" w:w="1234"/>
          </w:tcPr>
          <w:p>
            <w:r>
              <w:rPr>
                <w:rFonts w:ascii="Calibri" w:hAnsi="Calibri"/>
                <w:b/>
                <w:color w:val="30A46C"/>
                <w:sz w:val="22"/>
              </w:rPr>
              <w:t>+50 bps</w:t>
            </w:r>
          </w:p>
        </w:tc>
        <w:tc>
          <w:tcPr>
            <w:tcW w:type="dxa" w:w="1234"/>
          </w:tcPr>
          <w:p>
            <w:r>
              <w:rPr>
                <w:rFonts w:ascii="Calibri" w:hAnsi="Calibri"/>
                <w:sz w:val="22"/>
              </w:rPr>
              <w:t>24,992</w:t>
            </w:r>
          </w:p>
        </w:tc>
        <w:tc>
          <w:tcPr>
            <w:tcW w:type="dxa" w:w="1234"/>
          </w:tcPr>
          <w:p>
            <w:r>
              <w:rPr>
                <w:rFonts w:ascii="Calibri" w:hAnsi="Calibri"/>
                <w:sz w:val="22"/>
              </w:rPr>
              <w:t>23,577</w:t>
            </w:r>
          </w:p>
        </w:tc>
        <w:tc>
          <w:tcPr>
            <w:tcW w:type="dxa" w:w="1234"/>
          </w:tcPr>
          <w:p>
            <w:r>
              <w:rPr>
                <w:rFonts w:ascii="Calibri" w:hAnsi="Calibri"/>
                <w:b/>
                <w:color w:val="30A46C"/>
                <w:sz w:val="22"/>
              </w:rPr>
              <w:t>+6.0%</w:t>
            </w:r>
          </w:p>
        </w:tc>
      </w:tr>
    </w:tbl>
    <w:p>
      <w:r>
        <w:rPr>
          <w:rFonts w:ascii="Calibri" w:hAnsi="Calibri"/>
          <w:b/>
          <w:color w:val="525866"/>
          <w:sz w:val="22"/>
        </w:rPr>
        <w:t xml:space="preserve">Pattern: </w:t>
      </w:r>
      <w:r>
        <w:rPr>
          <w:rFonts w:ascii="Calibri" w:hAnsi="Calibri"/>
          <w:color w:val="525866"/>
          <w:sz w:val="22"/>
        </w:rPr>
        <w:t>DHI has beaten gross margin consensus in 4 of the last 8 quarters, with the most recent two quarters (Q1 and Q2 FY2026) both delivering positive surprises — a constructive trend. On net orders, DHI has beaten in 3 of the last 8 quarters, with the last two quarters showing a reversal to the upside (Q3 FY2025 and Q2 FY2026 both beat). The combination of improving order momentum and recent margin beats sets a modestly positive tone heading into Q3.</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Q2 earnings — no meaningful upward or downward revision momentum. The one-week post-earnings consensus for Q3 (as of April 28, 2026) is essentially unchanged from current levels, suggesting the Street has fully digested the Q2 guidance and is not pricing in incremental upside or downside.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Q3 FY2026 Cons. (Apr 28, 2026 — 1 wk post Q2 earnings)</w:t>
            </w:r>
          </w:p>
        </w:tc>
        <w:tc>
          <w:tcPr>
            <w:tcW w:type="dxa" w:w="1728"/>
            <w:shd w:val="clear" w:color="auto" w:fill="3B4259"/>
          </w:tcPr>
          <w:p>
            <w:r>
              <w:rPr>
                <w:rFonts w:ascii="Calibri" w:hAnsi="Calibri"/>
                <w:b/>
                <w:color w:val="FFFFFF"/>
                <w:sz w:val="22"/>
              </w:rPr>
              <w:t>Q3 FY2026 Cons. (Current)</w:t>
            </w:r>
          </w:p>
        </w:tc>
        <w:tc>
          <w:tcPr>
            <w:tcW w:type="dxa" w:w="1728"/>
            <w:shd w:val="clear" w:color="auto" w:fill="3B4259"/>
          </w:tcPr>
          <w:p>
            <w:r>
              <w:rPr>
                <w:rFonts w:ascii="Calibri" w:hAnsi="Calibri"/>
                <w:b/>
                <w:color w:val="FFFFFF"/>
                <w:sz w:val="22"/>
              </w:rPr>
              <w:t>Change</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Total Revenue ($B)</w:t>
            </w:r>
          </w:p>
        </w:tc>
        <w:tc>
          <w:tcPr>
            <w:tcW w:type="dxa" w:w="1728"/>
          </w:tcPr>
          <w:p>
            <w:r>
              <w:rPr>
                <w:rFonts w:ascii="Calibri" w:hAnsi="Calibri"/>
                <w:sz w:val="22"/>
              </w:rPr>
              <w:t>$9.197B</w:t>
            </w:r>
          </w:p>
        </w:tc>
        <w:tc>
          <w:tcPr>
            <w:tcW w:type="dxa" w:w="1728"/>
          </w:tcPr>
          <w:p>
            <w:r>
              <w:rPr>
                <w:rFonts w:ascii="Calibri" w:hAnsi="Calibri"/>
                <w:sz w:val="22"/>
              </w:rPr>
              <w:t>$9.187B</w:t>
            </w:r>
          </w:p>
        </w:tc>
        <w:tc>
          <w:tcPr>
            <w:tcW w:type="dxa" w:w="1728"/>
          </w:tcPr>
          <w:p>
            <w:r>
              <w:rPr>
                <w:rFonts w:ascii="Calibri" w:hAnsi="Calibri"/>
                <w:sz w:val="22"/>
              </w:rPr>
              <w:t>-$10M (-0.1%)</w:t>
            </w:r>
          </w:p>
        </w:tc>
        <w:tc>
          <w:tcPr>
            <w:tcW w:type="dxa" w:w="1728"/>
          </w:tcPr>
          <w:p>
            <w:r>
              <w:rPr>
                <w:rFonts w:ascii="Calibri" w:hAnsi="Calibri"/>
                <w:sz w:val="22"/>
              </w:rPr>
              <w:t>→ Flat</w:t>
            </w:r>
          </w:p>
        </w:tc>
      </w:tr>
      <w:tr>
        <w:tc>
          <w:tcPr>
            <w:tcW w:type="dxa" w:w="1728"/>
          </w:tcPr>
          <w:p>
            <w:r>
              <w:rPr>
                <w:rFonts w:ascii="Calibri" w:hAnsi="Calibri"/>
                <w:sz w:val="22"/>
              </w:rPr>
              <w:t>Homes Delivered (#)</w:t>
            </w:r>
          </w:p>
        </w:tc>
        <w:tc>
          <w:tcPr>
            <w:tcW w:type="dxa" w:w="1728"/>
          </w:tcPr>
          <w:p>
            <w:r>
              <w:rPr>
                <w:rFonts w:ascii="Calibri" w:hAnsi="Calibri"/>
                <w:sz w:val="22"/>
              </w:rPr>
              <w:t>23,771</w:t>
            </w:r>
          </w:p>
        </w:tc>
        <w:tc>
          <w:tcPr>
            <w:tcW w:type="dxa" w:w="1728"/>
          </w:tcPr>
          <w:p>
            <w:r>
              <w:rPr>
                <w:rFonts w:ascii="Calibri" w:hAnsi="Calibri"/>
                <w:sz w:val="22"/>
              </w:rPr>
              <w:t>23,778</w:t>
            </w:r>
          </w:p>
        </w:tc>
        <w:tc>
          <w:tcPr>
            <w:tcW w:type="dxa" w:w="1728"/>
          </w:tcPr>
          <w:p>
            <w:r>
              <w:rPr>
                <w:rFonts w:ascii="Calibri" w:hAnsi="Calibri"/>
                <w:sz w:val="22"/>
              </w:rPr>
              <w:t>+7 (+0.0%)</w:t>
            </w:r>
          </w:p>
        </w:tc>
        <w:tc>
          <w:tcPr>
            <w:tcW w:type="dxa" w:w="1728"/>
          </w:tcPr>
          <w:p>
            <w:r>
              <w:rPr>
                <w:rFonts w:ascii="Calibri" w:hAnsi="Calibri"/>
                <w:sz w:val="22"/>
              </w:rPr>
              <w:t>→ Flat</w:t>
            </w:r>
          </w:p>
        </w:tc>
      </w:tr>
      <w:tr>
        <w:tc>
          <w:tcPr>
            <w:tcW w:type="dxa" w:w="1728"/>
          </w:tcPr>
          <w:p>
            <w:r>
              <w:rPr>
                <w:rFonts w:ascii="Calibri" w:hAnsi="Calibri"/>
                <w:sz w:val="22"/>
              </w:rPr>
              <w:t>Net New Orders (#)</w:t>
            </w:r>
          </w:p>
        </w:tc>
        <w:tc>
          <w:tcPr>
            <w:tcW w:type="dxa" w:w="1728"/>
          </w:tcPr>
          <w:p>
            <w:r>
              <w:rPr>
                <w:rFonts w:ascii="Calibri" w:hAnsi="Calibri"/>
                <w:sz w:val="22"/>
              </w:rPr>
              <w:t>24,121</w:t>
            </w:r>
          </w:p>
        </w:tc>
        <w:tc>
          <w:tcPr>
            <w:tcW w:type="dxa" w:w="1728"/>
          </w:tcPr>
          <w:p>
            <w:r>
              <w:rPr>
                <w:rFonts w:ascii="Calibri" w:hAnsi="Calibri"/>
                <w:sz w:val="22"/>
              </w:rPr>
              <w:t>24,129</w:t>
            </w:r>
          </w:p>
        </w:tc>
        <w:tc>
          <w:tcPr>
            <w:tcW w:type="dxa" w:w="1728"/>
          </w:tcPr>
          <w:p>
            <w:r>
              <w:rPr>
                <w:rFonts w:ascii="Calibri" w:hAnsi="Calibri"/>
                <w:sz w:val="22"/>
              </w:rPr>
              <w:t>+8 (+0.0%)</w:t>
            </w:r>
          </w:p>
        </w:tc>
        <w:tc>
          <w:tcPr>
            <w:tcW w:type="dxa" w:w="1728"/>
          </w:tcPr>
          <w:p>
            <w:r>
              <w:rPr>
                <w:rFonts w:ascii="Calibri" w:hAnsi="Calibri"/>
                <w:sz w:val="22"/>
              </w:rPr>
              <w:t>→ Flat</w:t>
            </w:r>
          </w:p>
        </w:tc>
      </w:tr>
      <w:tr>
        <w:tc>
          <w:tcPr>
            <w:tcW w:type="dxa" w:w="1728"/>
          </w:tcPr>
          <w:p>
            <w:r>
              <w:rPr>
                <w:rFonts w:ascii="Calibri" w:hAnsi="Calibri"/>
                <w:sz w:val="22"/>
              </w:rPr>
              <w:t>Gross Margin — Home Building (%)</w:t>
            </w:r>
          </w:p>
        </w:tc>
        <w:tc>
          <w:tcPr>
            <w:tcW w:type="dxa" w:w="1728"/>
          </w:tcPr>
          <w:p>
            <w:r>
              <w:rPr>
                <w:rFonts w:ascii="Calibri" w:hAnsi="Calibri"/>
                <w:sz w:val="22"/>
              </w:rPr>
              <w:t>19.89%</w:t>
            </w:r>
          </w:p>
        </w:tc>
        <w:tc>
          <w:tcPr>
            <w:tcW w:type="dxa" w:w="1728"/>
          </w:tcPr>
          <w:p>
            <w:r>
              <w:rPr>
                <w:rFonts w:ascii="Calibri" w:hAnsi="Calibri"/>
                <w:sz w:val="22"/>
              </w:rPr>
              <w:t>19.81%</w:t>
            </w:r>
          </w:p>
        </w:tc>
        <w:tc>
          <w:tcPr>
            <w:tcW w:type="dxa" w:w="1728"/>
          </w:tcPr>
          <w:p>
            <w:r>
              <w:rPr>
                <w:rFonts w:ascii="Calibri" w:hAnsi="Calibri"/>
                <w:sz w:val="22"/>
              </w:rPr>
              <w:t>-8 bps</w:t>
            </w:r>
          </w:p>
        </w:tc>
        <w:tc>
          <w:tcPr>
            <w:tcW w:type="dxa" w:w="1728"/>
          </w:tcPr>
          <w:p>
            <w:r>
              <w:rPr>
                <w:rFonts w:ascii="Calibri" w:hAnsi="Calibri"/>
                <w:sz w:val="22"/>
              </w:rPr>
              <w:t>↓ Slight drift lower</w:t>
            </w:r>
          </w:p>
        </w:tc>
      </w:tr>
      <w:tr>
        <w:tc>
          <w:tcPr>
            <w:tcW w:type="dxa" w:w="1728"/>
          </w:tcPr>
          <w:p>
            <w:r>
              <w:rPr>
                <w:rFonts w:ascii="Calibri" w:hAnsi="Calibri"/>
                <w:sz w:val="22"/>
              </w:rPr>
              <w:t>Diluted EPS — Operating ($)</w:t>
            </w:r>
          </w:p>
        </w:tc>
        <w:tc>
          <w:tcPr>
            <w:tcW w:type="dxa" w:w="1728"/>
          </w:tcPr>
          <w:p>
            <w:r>
              <w:rPr>
                <w:rFonts w:ascii="Calibri" w:hAnsi="Calibri"/>
                <w:sz w:val="22"/>
              </w:rPr>
              <w:t>$2.99</w:t>
            </w:r>
          </w:p>
        </w:tc>
        <w:tc>
          <w:tcPr>
            <w:tcW w:type="dxa" w:w="1728"/>
          </w:tcPr>
          <w:p>
            <w:r>
              <w:rPr>
                <w:rFonts w:ascii="Calibri" w:hAnsi="Calibri"/>
                <w:sz w:val="22"/>
              </w:rPr>
              <w:t>$2.98</w:t>
            </w:r>
          </w:p>
        </w:tc>
        <w:tc>
          <w:tcPr>
            <w:tcW w:type="dxa" w:w="1728"/>
          </w:tcPr>
          <w:p>
            <w:r>
              <w:rPr>
                <w:rFonts w:ascii="Calibri" w:hAnsi="Calibri"/>
                <w:sz w:val="22"/>
              </w:rPr>
              <w:t>-$0.01 (-0.3%)</w:t>
            </w:r>
          </w:p>
        </w:tc>
        <w:tc>
          <w:tcPr>
            <w:tcW w:type="dxa" w:w="1728"/>
          </w:tcPr>
          <w:p>
            <w:r>
              <w:rPr>
                <w:rFonts w:ascii="Calibri" w:hAnsi="Calibri"/>
                <w:sz w:val="22"/>
              </w:rPr>
              <w:t>→ Flat</w:t>
            </w:r>
          </w:p>
        </w:tc>
      </w:tr>
    </w:tbl>
    <w:p>
      <w:r>
        <w:rPr>
          <w:rFonts w:ascii="Calibri" w:hAnsi="Calibri"/>
          <w:i/>
          <w:color w:val="525866"/>
          <w:sz w:val="22"/>
        </w:rPr>
        <w:t>Source: Visible Alpha Consensus and Actuals Data. April 28, 2026 snapshot represents one week post-Q2 FY2026 earnings (April 21, 2026).</w:t>
      </w:r>
    </w:p>
    <w:p>
      <w:r>
        <w:rPr>
          <w:rFonts w:ascii="Calibri" w:hAnsi="Calibri"/>
          <w:b/>
          <w:color w:val="525866"/>
          <w:sz w:val="22"/>
        </w:rPr>
        <w:t xml:space="preserve">Interpretation: </w:t>
      </w:r>
      <w:r>
        <w:rPr>
          <w:rFonts w:ascii="Calibri" w:hAnsi="Calibri"/>
          <w:color w:val="525866"/>
          <w:sz w:val="22"/>
        </w:rPr>
        <w:t>The near-zero revision activity since Q2 earnings is consistent with management’s explicit guidance framework — the Street has anchored to the midpoint of the guided ranges and is not making incremental bets. The slight 8 bps drift lower in gross margin consensus is the only notable move, and it is immaterial. This flat revision environment means the stock is not pricing in a beat, which is a constructive setup if DHI can deliver at or above the high end of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DHI has significantly underperformed both the homebuilder ETF (ITB) and the S&amp;P 500 since Q2 earnings, down ~7.9% vs. ITB down ~2.8% and SPY up ~5.6% — the stock has de-rated on margin concerns and the full-year guidance trim, creating a low-expectations setup heading into Q3.</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DHI vs. ITB (Homebuilders ETF) vs. S&amp;P 500 — Indexed to 100 at Q2 FY2026 Earnings (April 21, 2026). Source: Stock Price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Context</w:t>
            </w:r>
          </w:p>
        </w:tc>
      </w:tr>
      <w:tr>
        <w:tc>
          <w:tcPr>
            <w:tcW w:type="dxa" w:w="2880"/>
          </w:tcPr>
          <w:p>
            <w:r>
              <w:rPr>
                <w:rFonts w:ascii="Calibri" w:hAnsi="Calibri"/>
                <w:sz w:val="22"/>
              </w:rPr>
              <w:t>DHI Last Close (Jul 17, 2026)</w:t>
            </w:r>
          </w:p>
        </w:tc>
        <w:tc>
          <w:tcPr>
            <w:tcW w:type="dxa" w:w="2880"/>
          </w:tcPr>
          <w:p>
            <w:r>
              <w:rPr>
                <w:rFonts w:ascii="Calibri" w:hAnsi="Calibri"/>
                <w:sz w:val="22"/>
              </w:rPr>
              <w:t>$149.42</w:t>
            </w:r>
          </w:p>
        </w:tc>
        <w:tc>
          <w:tcPr>
            <w:tcW w:type="dxa" w:w="2880"/>
          </w:tcPr>
          <w:p>
            <w:r>
              <w:rPr>
                <w:rFonts w:ascii="Calibri" w:hAnsi="Calibri"/>
                <w:sz w:val="22"/>
              </w:rPr>
              <w:t>Down from $162.20 at Q2 earnings (Apr 21, 2026)</w:t>
            </w:r>
          </w:p>
        </w:tc>
      </w:tr>
      <w:tr>
        <w:tc>
          <w:tcPr>
            <w:tcW w:type="dxa" w:w="2880"/>
          </w:tcPr>
          <w:p>
            <w:r>
              <w:rPr>
                <w:rFonts w:ascii="Calibri" w:hAnsi="Calibri"/>
                <w:sz w:val="22"/>
              </w:rPr>
              <w:t>DHI Performance Since Q2 Earnings</w:t>
            </w:r>
          </w:p>
        </w:tc>
        <w:tc>
          <w:tcPr>
            <w:tcW w:type="dxa" w:w="2880"/>
          </w:tcPr>
          <w:p>
            <w:r>
              <w:rPr>
                <w:rFonts w:ascii="Calibri" w:hAnsi="Calibri"/>
                <w:sz w:val="22"/>
              </w:rPr>
              <w:t>-7.9%</w:t>
            </w:r>
          </w:p>
        </w:tc>
        <w:tc>
          <w:tcPr>
            <w:tcW w:type="dxa" w:w="2880"/>
          </w:tcPr>
          <w:p>
            <w:r>
              <w:rPr>
                <w:rFonts w:ascii="Calibri" w:hAnsi="Calibri"/>
                <w:sz w:val="22"/>
              </w:rPr>
              <w:t>Indexed to 92.1 vs. base of 100</w:t>
            </w:r>
          </w:p>
        </w:tc>
      </w:tr>
      <w:tr>
        <w:tc>
          <w:tcPr>
            <w:tcW w:type="dxa" w:w="2880"/>
          </w:tcPr>
          <w:p>
            <w:r>
              <w:rPr>
                <w:rFonts w:ascii="Calibri" w:hAnsi="Calibri"/>
                <w:sz w:val="22"/>
              </w:rPr>
              <w:t>ITB (Homebuilders ETF) Since Q2 Earnings</w:t>
            </w:r>
          </w:p>
        </w:tc>
        <w:tc>
          <w:tcPr>
            <w:tcW w:type="dxa" w:w="2880"/>
          </w:tcPr>
          <w:p>
            <w:r>
              <w:rPr>
                <w:rFonts w:ascii="Calibri" w:hAnsi="Calibri"/>
                <w:sz w:val="22"/>
              </w:rPr>
              <w:t>-2.8%</w:t>
            </w:r>
          </w:p>
        </w:tc>
        <w:tc>
          <w:tcPr>
            <w:tcW w:type="dxa" w:w="2880"/>
          </w:tcPr>
          <w:p>
            <w:r>
              <w:rPr>
                <w:rFonts w:ascii="Calibri" w:hAnsi="Calibri"/>
                <w:sz w:val="22"/>
              </w:rPr>
              <w:t>Indexed to 97.2 vs. base of 100</w:t>
            </w:r>
          </w:p>
        </w:tc>
      </w:tr>
      <w:tr>
        <w:tc>
          <w:tcPr>
            <w:tcW w:type="dxa" w:w="2880"/>
          </w:tcPr>
          <w:p>
            <w:r>
              <w:rPr>
                <w:rFonts w:ascii="Calibri" w:hAnsi="Calibri"/>
                <w:sz w:val="22"/>
              </w:rPr>
              <w:t>S&amp;P 500 (SPY) Since Q2 Earnings</w:t>
            </w:r>
          </w:p>
        </w:tc>
        <w:tc>
          <w:tcPr>
            <w:tcW w:type="dxa" w:w="2880"/>
          </w:tcPr>
          <w:p>
            <w:r>
              <w:rPr>
                <w:rFonts w:ascii="Calibri" w:hAnsi="Calibri"/>
                <w:sz w:val="22"/>
              </w:rPr>
              <w:t>+5.6%</w:t>
            </w:r>
          </w:p>
        </w:tc>
        <w:tc>
          <w:tcPr>
            <w:tcW w:type="dxa" w:w="2880"/>
          </w:tcPr>
          <w:p>
            <w:r>
              <w:rPr>
                <w:rFonts w:ascii="Calibri" w:hAnsi="Calibri"/>
                <w:sz w:val="22"/>
              </w:rPr>
              <w:t>Indexed to 105.6 vs. base of 100</w:t>
            </w:r>
          </w:p>
        </w:tc>
      </w:tr>
      <w:tr>
        <w:tc>
          <w:tcPr>
            <w:tcW w:type="dxa" w:w="2880"/>
          </w:tcPr>
          <w:p>
            <w:r>
              <w:rPr>
                <w:rFonts w:ascii="Calibri" w:hAnsi="Calibri"/>
                <w:sz w:val="22"/>
              </w:rPr>
              <w:t>DHI vs. ITB Relative Performance</w:t>
            </w:r>
          </w:p>
        </w:tc>
        <w:tc>
          <w:tcPr>
            <w:tcW w:type="dxa" w:w="2880"/>
          </w:tcPr>
          <w:p>
            <w:r>
              <w:rPr>
                <w:rFonts w:ascii="Calibri" w:hAnsi="Calibri"/>
                <w:sz w:val="22"/>
              </w:rPr>
              <w:t>-5.1 ppts</w:t>
            </w:r>
          </w:p>
        </w:tc>
        <w:tc>
          <w:tcPr>
            <w:tcW w:type="dxa" w:w="2880"/>
          </w:tcPr>
          <w:p>
            <w:r>
              <w:rPr>
                <w:rFonts w:ascii="Calibri" w:hAnsi="Calibri"/>
                <w:sz w:val="22"/>
              </w:rPr>
              <w:t>DHI underperforming even the homebuilder sector</w:t>
            </w:r>
          </w:p>
        </w:tc>
      </w:tr>
      <w:tr>
        <w:tc>
          <w:tcPr>
            <w:tcW w:type="dxa" w:w="2880"/>
          </w:tcPr>
          <w:p>
            <w:r>
              <w:rPr>
                <w:rFonts w:ascii="Calibri" w:hAnsi="Calibri"/>
                <w:sz w:val="22"/>
              </w:rPr>
              <w:t>Analyst Consensus Rating</w:t>
            </w:r>
          </w:p>
        </w:tc>
        <w:tc>
          <w:tcPr>
            <w:tcW w:type="dxa" w:w="2880"/>
          </w:tcPr>
          <w:p>
            <w:r>
              <w:rPr>
                <w:rFonts w:ascii="Calibri" w:hAnsi="Calibri"/>
                <w:sz w:val="22"/>
              </w:rPr>
              <w:t>Hold</w:t>
            </w:r>
          </w:p>
        </w:tc>
        <w:tc>
          <w:tcPr>
            <w:tcW w:type="dxa" w:w="2880"/>
          </w:tcPr>
          <w:p>
            <w:r>
              <w:rPr>
                <w:rFonts w:ascii="Calibri" w:hAnsi="Calibri"/>
                <w:sz w:val="22"/>
              </w:rPr>
              <w:t>17 analysts: 5 Buy, 10 Hold, 2 Sell</w:t>
            </w:r>
          </w:p>
        </w:tc>
      </w:tr>
      <w:tr>
        <w:tc>
          <w:tcPr>
            <w:tcW w:type="dxa" w:w="2880"/>
          </w:tcPr>
          <w:p>
            <w:r>
              <w:rPr>
                <w:rFonts w:ascii="Calibri" w:hAnsi="Calibri"/>
                <w:sz w:val="22"/>
              </w:rPr>
              <w:t>Consensus Price Target</w:t>
            </w:r>
          </w:p>
        </w:tc>
        <w:tc>
          <w:tcPr>
            <w:tcW w:type="dxa" w:w="2880"/>
          </w:tcPr>
          <w:p>
            <w:r>
              <w:rPr>
                <w:rFonts w:ascii="Calibri" w:hAnsi="Calibri"/>
                <w:sz w:val="22"/>
              </w:rPr>
              <w:t>$168.62</w:t>
            </w:r>
          </w:p>
        </w:tc>
        <w:tc>
          <w:tcPr>
            <w:tcW w:type="dxa" w:w="2880"/>
          </w:tcPr>
          <w:p>
            <w:r>
              <w:rPr>
                <w:rFonts w:ascii="Calibri" w:hAnsi="Calibri"/>
                <w:sz w:val="22"/>
              </w:rPr>
              <w:t>~13% upside from last close; range $123–$206</w:t>
            </w:r>
          </w:p>
        </w:tc>
      </w:tr>
      <w:tr>
        <w:tc>
          <w:tcPr>
            <w:tcW w:type="dxa" w:w="2880"/>
          </w:tcPr>
          <w:p>
            <w:r>
              <w:rPr>
                <w:rFonts w:ascii="Calibri" w:hAnsi="Calibri"/>
                <w:sz w:val="22"/>
              </w:rPr>
              <w:t>Key Events Since Q2 Earnings</w:t>
            </w:r>
          </w:p>
        </w:tc>
        <w:tc>
          <w:tcPr>
            <w:tcW w:type="dxa" w:w="2880"/>
          </w:tcPr>
          <w:p>
            <w:r>
              <w:rPr>
                <w:rFonts w:ascii="Calibri" w:hAnsi="Calibri"/>
                <w:sz w:val="22"/>
              </w:rPr>
              <w:t>May 12: DHI Mortgage facility amended to $1.925B; Jun 12: LEN Q2 earnings; Jun 23: KBH Q2 earnings; Jun 24: KBH earnings drove sector rally (+6.4% for DHI that day)</w:t>
            </w:r>
          </w:p>
        </w:tc>
        <w:tc>
          <w:tcPr>
            <w:tcW w:type="dxa" w:w="2880"/>
          </w:tcPr>
          <w:p>
            <w:r>
              <w:rPr>
                <w:rFonts w:ascii="Calibri" w:hAnsi="Calibri"/>
                <w:sz w:val="22"/>
              </w:rPr>
              <w:t>KBH’s strong Q2 print was a positive read-through for DHI</w:t>
            </w:r>
          </w:p>
        </w:tc>
      </w:tr>
    </w:tbl>
    <w:p>
      <w:r>
        <w:rPr>
          <w:rFonts w:ascii="Calibri" w:hAnsi="Calibri"/>
          <w:b/>
          <w:color w:val="525866"/>
          <w:sz w:val="22"/>
        </w:rPr>
        <w:t xml:space="preserve">Notable: </w:t>
      </w:r>
      <w:r>
        <w:rPr>
          <w:rFonts w:ascii="Calibri" w:hAnsi="Calibri"/>
          <w:color w:val="525866"/>
          <w:sz w:val="22"/>
        </w:rPr>
        <w:t>DHI’s underperformance vs. ITB is particularly striking — the stock has lagged even the broader homebuilder sector by ~5 percentage points since Q2 earnings, suggesting company-specific concerns (margin trajectory, full-year guidance trim) rather than sector-wide headwinds are driving the de-rating. The June 24 sector rally (+6.4% for DHI on KBH’s strong print) was a brief positive, but DHI has since given back most of those gains. The stock enters Q3 earnings at a depressed multiple with low expectations — a setup that historically has been favorable for DHI when results are in-line or better.</w:t>
      </w:r>
    </w:p>
    <w:p>
      <w:r>
        <w:rPr>
          <w:rFonts w:ascii="Calibri" w:hAnsi="Calibri"/>
          <w:i/>
          <w:color w:val="525866"/>
          <w:sz w:val="22"/>
        </w:rPr>
        <w:t>Source: Stock Price Data.</w:t>
      </w:r>
    </w:p>
    <w:p>
      <w:r>
        <w:br w:type="page"/>
      </w:r>
    </w:p>
    <w:p>
      <w:pPr>
        <w:pStyle w:val="Heading2"/>
      </w:pPr>
      <w:r>
        <w:rPr>
          <w:rFonts w:ascii="Calibri" w:hAnsi="Calibri"/>
          <w:b/>
          <w:color w:val="3B4259"/>
          <w:sz w:val="28"/>
        </w:rPr>
        <w:t>6. Peer Commentaries — Read-Through to DHI Q3 FY2026</w:t>
      </w:r>
    </w:p>
    <w:p>
      <w:r>
        <w:rPr>
          <w:rFonts w:ascii="Calibri" w:hAnsi="Calibri"/>
          <w:b/>
          <w:color w:val="525866"/>
          <w:sz w:val="22"/>
        </w:rPr>
        <w:t xml:space="preserve">Key Takeaway: </w:t>
      </w:r>
      <w:r>
        <w:rPr>
          <w:rFonts w:ascii="Calibri" w:hAnsi="Calibri"/>
          <w:color w:val="525866"/>
          <w:sz w:val="22"/>
        </w:rPr>
        <w:t xml:space="preserve">Three peers reported during DHI’s Q3 FY2026 quarter (April–June 2026), providing real-time read-through signals. The most important takeaways are: (1) LEN reported the </w:t>
      </w:r>
    </w:p>
    <w:p>
      <w:r>
        <w:rPr>
          <w:rFonts w:ascii="Calibri" w:hAnsi="Calibri"/>
          <w:b/>
          <w:color w:val="525866"/>
          <w:sz w:val="22"/>
        </w:rPr>
        <w:t xml:space="preserve">Key Takeaway: </w:t>
      </w:r>
      <w:r>
        <w:rPr>
          <w:rFonts w:ascii="Calibri" w:hAnsi="Calibri"/>
          <w:color w:val="525866"/>
          <w:sz w:val="22"/>
        </w:rPr>
        <w:t xml:space="preserve">Three peers reported during DHI’s Q3 FY2026 quarter (April–June 2026), providing real-time read-through signals. LEN reported the </w:t>
      </w:r>
    </w:p>
    <w:p>
      <w:r>
        <w:rPr>
          <w:rFonts w:ascii="Calibri" w:hAnsi="Calibri"/>
          <w:b/>
          <w:color w:val="525866"/>
          <w:sz w:val="22"/>
        </w:rPr>
        <w:t xml:space="preserve">Key Takeaway: </w:t>
      </w:r>
      <w:r>
        <w:rPr>
          <w:rFonts w:ascii="Calibri" w:hAnsi="Calibri"/>
          <w:color w:val="525866"/>
          <w:sz w:val="22"/>
        </w:rPr>
        <w:t xml:space="preserve">Three peers reported during DHI’s Q3 FY2026 quarter (April–June 2026). </w:t>
      </w:r>
    </w:p>
    <w:p>
      <w:r>
        <w:rPr>
          <w:rFonts w:ascii="Calibri" w:hAnsi="Calibri"/>
          <w:color w:val="525866"/>
          <w:sz w:val="22"/>
        </w:rPr>
        <w:t>LEN reported the first sustainable decline in incentive levels in three years — a potential leading indicator of margin recovery for DHI. KBH delivered a strong demand beat with orders up 14% YoY and raised full-year guidance — the most direct positive read-through for DHI’s order volume. TOL confirmed that the higher-end market is resilient, which is less directly relevant to DHI’s entry-level focus but confirms the housing market is not broadly deteriorating.</w:t>
      </w:r>
    </w:p>
    <w:p>
      <w:r>
        <w:rPr>
          <w:rFonts w:ascii="Calibri" w:hAnsi="Calibri"/>
          <w:b/>
          <w:color w:val="525866"/>
          <w:sz w:val="22"/>
        </w:rPr>
        <w:t xml:space="preserve">Note: </w:t>
      </w:r>
      <w:r>
        <w:rPr>
          <w:rFonts w:ascii="Calibri" w:hAnsi="Calibri"/>
          <w:i/>
          <w:color w:val="525866"/>
          <w:sz w:val="22"/>
        </w:rPr>
        <w:t>Only forward-looking commentary and observations about current market conditions relevant to DHI’s Q3 FY2026 quarter (ending June 30, 2026) are included below. Backward-looking results commentary about each peer’s own past quarter is excluded.</w:t>
      </w:r>
    </w:p>
    <w:p>
      <w:pPr>
        <w:pStyle w:val="Heading3"/>
      </w:pPr>
      <w:r>
        <w:rPr>
          <w:rFonts w:ascii="Calibri" w:hAnsi="Calibri"/>
          <w:b/>
          <w:color w:val="3B4259"/>
          <w:sz w:val="24"/>
        </w:rPr>
        <w:t>Lennar Corporation (LEN) — Q2 FY2026 Earnings Call (June 12, 2026)</w:t>
      </w:r>
    </w:p>
    <w:p>
      <w:r>
        <w:rPr>
          <w:rFonts w:ascii="Calibri" w:hAnsi="Calibri"/>
          <w:b/>
          <w:color w:val="525866"/>
          <w:sz w:val="22"/>
        </w:rPr>
        <w:t xml:space="preserve">Reporting Period Overlap: </w:t>
      </w:r>
      <w:r>
        <w:rPr>
          <w:rFonts w:ascii="Calibri" w:hAnsi="Calibri"/>
          <w:color w:val="525866"/>
          <w:sz w:val="22"/>
        </w:rPr>
        <w:t>LEN’s Q2 FY2026 (March–May 2026) overlaps with the first two months of DHI’s Q3 FY2026 (April–June 2026). LEN’s forward guidance and market commentary covers the period directly relevant to DHI’s current quarter.</w:t>
      </w:r>
    </w:p>
    <w:p>
      <w:pPr>
        <w:pStyle w:val="Heading4"/>
      </w:pPr>
      <w:r>
        <w:rPr>
          <w:rFonts w:ascii="Calibri" w:hAnsi="Calibri"/>
          <w:b/>
          <w:color w:val="3B4259"/>
          <w:sz w:val="22"/>
        </w:rPr>
        <w:t>Demand &amp; Affordability</w:t>
      </w:r>
    </w:p>
    <w:p>
      <w:pPr>
        <w:pStyle w:val="ListBullet"/>
        <w:ind w:left="360" w:hanging="360"/>
      </w:pPr>
      <w:r>
        <w:rPr>
          <w:rFonts w:ascii="Calibri" w:hAnsi="Calibri"/>
          <w:b/>
          <w:color w:val="525866"/>
          <w:sz w:val="22"/>
        </w:rPr>
        <w:t xml:space="preserve">Macro backdrop has grown more complex since Q1: </w:t>
      </w:r>
      <w:r>
        <w:rPr>
          <w:rFonts w:ascii="Calibri" w:hAnsi="Calibri"/>
          <w:color w:val="525866"/>
          <w:sz w:val="22"/>
        </w:rPr>
        <w:t>LEN described the macro environment as having “economic and geopolitical crosscurrents” with mortgage rates stubbornly elevated in the mid-to-upper 6% range. The 30-year fixed rate was sitting between 6.4%–6.5% at the time of the call — “still at a level that keeps affordability challenged.”</w:t>
      </w:r>
    </w:p>
    <w:p>
      <w:pPr>
        <w:pStyle w:val="ListBullet"/>
        <w:ind w:left="360" w:hanging="360"/>
      </w:pPr>
      <w:r>
        <w:rPr>
          <w:rFonts w:ascii="Calibri" w:hAnsi="Calibri"/>
          <w:b/>
          <w:color w:val="525866"/>
          <w:sz w:val="22"/>
        </w:rPr>
        <w:t xml:space="preserve">Buyer behavior is measured, not energized: </w:t>
      </w:r>
      <w:r>
        <w:rPr>
          <w:rFonts w:ascii="Calibri" w:hAnsi="Calibri"/>
          <w:color w:val="525866"/>
          <w:sz w:val="22"/>
        </w:rPr>
        <w:t>“Traffic is inconsistent, intent is high, but urgency to close is still measured and deliberate rather than confident and energized.” Buyers are “stretching” and incentives are enabling purchases.</w:t>
      </w:r>
    </w:p>
    <w:p>
      <w:pPr>
        <w:pStyle w:val="ListBullet"/>
        <w:ind w:left="360" w:hanging="360"/>
      </w:pPr>
      <w:r>
        <w:rPr>
          <w:rFonts w:ascii="Calibri" w:hAnsi="Calibri"/>
          <w:b/>
          <w:color w:val="525866"/>
          <w:sz w:val="22"/>
        </w:rPr>
        <w:t xml:space="preserve">Inflation complicating the picture: </w:t>
      </w:r>
      <w:r>
        <w:rPr>
          <w:rFonts w:ascii="Calibri" w:hAnsi="Calibri"/>
          <w:color w:val="525866"/>
          <w:sz w:val="22"/>
        </w:rPr>
        <w:t>May CPI came in at 4.2% YoY (highest since early 2023), driven by energy (gasoline +7% in May, +40% YoY due to Iran conflict disruptions). LEN noted this “tends to depress consumer confidence and moderate willingness to make major financial commitments like purchasing a home.”</w:t>
      </w:r>
    </w:p>
    <w:p>
      <w:pPr>
        <w:pStyle w:val="ListBullet"/>
        <w:ind w:left="360" w:hanging="360"/>
      </w:pPr>
      <w:r>
        <w:rPr>
          <w:rFonts w:ascii="Calibri" w:hAnsi="Calibri"/>
          <w:b/>
          <w:color w:val="525866"/>
          <w:sz w:val="22"/>
        </w:rPr>
        <w:t xml:space="preserve">Fed on hold: </w:t>
      </w:r>
      <w:r>
        <w:rPr>
          <w:rFonts w:ascii="Calibri" w:hAnsi="Calibri"/>
          <w:color w:val="525866"/>
          <w:sz w:val="22"/>
        </w:rPr>
        <w:t>Federal funds rate at 3.5%–3.75% with “little probability of a cut in the immediate future.” No near-term rate relief expected.</w:t>
      </w:r>
    </w:p>
    <w:p>
      <w:pPr>
        <w:pStyle w:val="ListBullet"/>
        <w:ind w:left="360" w:hanging="360"/>
      </w:pPr>
      <w:r>
        <w:rPr>
          <w:rFonts w:ascii="Calibri" w:hAnsi="Calibri"/>
          <w:b/>
          <w:color w:val="525866"/>
          <w:sz w:val="22"/>
        </w:rPr>
        <w:t xml:space="preserve">Underlying demand is real: </w:t>
      </w:r>
      <w:r>
        <w:rPr>
          <w:rFonts w:ascii="Calibri" w:hAnsi="Calibri"/>
          <w:color w:val="525866"/>
          <w:sz w:val="22"/>
        </w:rPr>
        <w:t>Despite the challenging backdrop, LEN emphasized “underlying demand is real and growing, and supply is structurally short.”</w:t>
      </w:r>
    </w:p>
    <w:p>
      <w:pPr>
        <w:pStyle w:val="Heading4"/>
      </w:pPr>
      <w:r>
        <w:rPr>
          <w:rFonts w:ascii="Calibri" w:hAnsi="Calibri"/>
          <w:b/>
          <w:color w:val="3B4259"/>
          <w:sz w:val="22"/>
        </w:rPr>
        <w:t>Incentives &amp; Gross Margin Trajectory</w:t>
      </w:r>
    </w:p>
    <w:p>
      <w:pPr>
        <w:pStyle w:val="ListBullet"/>
        <w:ind w:left="360" w:hanging="360"/>
      </w:pPr>
      <w:r>
        <w:rPr>
          <w:rFonts w:ascii="Calibri" w:hAnsi="Calibri"/>
          <w:b/>
          <w:color w:val="525866"/>
          <w:sz w:val="22"/>
        </w:rPr>
        <w:t xml:space="preserve">First sustainable decline in incentives in three years: </w:t>
      </w:r>
      <w:r>
        <w:rPr>
          <w:rFonts w:ascii="Calibri" w:hAnsi="Calibri"/>
          <w:color w:val="525866"/>
          <w:sz w:val="22"/>
        </w:rPr>
        <w:t>LEN’s sales incentive rate on deliveries was 12.9% in Q2, down from 14.1% in Q1 and 14.5% in Q4 FY2025. Management called this “the first real and potentially sustainable decline” after three years of generally increasing incentive levels. “Our own incentives are slowly declining for the first time in three years.”</w:t>
      </w:r>
    </w:p>
    <w:p>
      <w:pPr>
        <w:pStyle w:val="ListBullet"/>
        <w:ind w:left="360" w:hanging="360"/>
      </w:pPr>
      <w:r>
        <w:rPr>
          <w:rFonts w:ascii="Calibri" w:hAnsi="Calibri"/>
          <w:b/>
          <w:color w:val="525866"/>
          <w:sz w:val="22"/>
        </w:rPr>
        <w:t xml:space="preserve">Gross margin improved sequentially to 15.6%: </w:t>
      </w:r>
      <w:r>
        <w:rPr>
          <w:rFonts w:ascii="Calibri" w:hAnsi="Calibri"/>
          <w:color w:val="525866"/>
          <w:sz w:val="22"/>
        </w:rPr>
        <w:t>LEN expects “sequential margin improvement quarter to quarter as the year progresses.” Management is managing sales and starts pace to allow incentive reductions to mature.</w:t>
      </w:r>
    </w:p>
    <w:p>
      <w:pPr>
        <w:pStyle w:val="ListBullet"/>
        <w:ind w:left="360" w:hanging="360"/>
      </w:pPr>
      <w:r>
        <w:rPr>
          <w:rFonts w:ascii="Calibri" w:hAnsi="Calibri"/>
          <w:b/>
          <w:color w:val="525866"/>
          <w:sz w:val="22"/>
        </w:rPr>
        <w:t xml:space="preserve">Market described as “erratic”: </w:t>
      </w:r>
      <w:r>
        <w:rPr>
          <w:rFonts w:ascii="Calibri" w:hAnsi="Calibri"/>
          <w:color w:val="525866"/>
          <w:sz w:val="22"/>
        </w:rPr>
        <w:t>LEN took “some pressure off of pushing into the market in order to let some of those incentive reductions mature.”</w:t>
      </w:r>
    </w:p>
    <w:p>
      <w:pPr>
        <w:pStyle w:val="Heading4"/>
      </w:pPr>
      <w:r>
        <w:rPr>
          <w:rFonts w:ascii="Calibri" w:hAnsi="Calibri"/>
          <w:b/>
          <w:color w:val="3B4259"/>
          <w:sz w:val="22"/>
        </w:rPr>
        <w:t>Construction Costs</w:t>
      </w:r>
    </w:p>
    <w:p>
      <w:pPr>
        <w:pStyle w:val="ListBullet"/>
        <w:ind w:left="360" w:hanging="360"/>
      </w:pPr>
      <w:r>
        <w:rPr>
          <w:rFonts w:ascii="Calibri" w:hAnsi="Calibri"/>
          <w:b/>
          <w:color w:val="525866"/>
          <w:sz w:val="22"/>
        </w:rPr>
        <w:t xml:space="preserve">Construction costs per square foot improved to $81, down 7% YoY and 13% from two years ago. </w:t>
      </w:r>
      <w:r>
        <w:rPr>
          <w:rFonts w:ascii="Calibri" w:hAnsi="Calibri"/>
          <w:color w:val="525866"/>
          <w:sz w:val="22"/>
        </w:rPr>
        <w:t>This is a significant positive data point for DHI, which has also been citing construction cost savings as a key margin lever.</w:t>
      </w:r>
    </w:p>
    <w:p>
      <w:pPr>
        <w:pStyle w:val="Heading4"/>
      </w:pPr>
      <w:r>
        <w:rPr>
          <w:rFonts w:ascii="Calibri" w:hAnsi="Calibri"/>
          <w:b/>
          <w:color w:val="3B4259"/>
          <w:sz w:val="22"/>
        </w:rPr>
        <w:t>Forward Guidance (LEN Q3 FY2026 Outlook)</w:t>
      </w:r>
    </w:p>
    <w:p>
      <w:pPr>
        <w:pStyle w:val="ListBullet"/>
        <w:ind w:left="360" w:hanging="360"/>
      </w:pPr>
      <w:r>
        <w:rPr>
          <w:rFonts w:ascii="Calibri" w:hAnsi="Calibri"/>
          <w:color w:val="525866"/>
          <w:sz w:val="22"/>
        </w:rPr>
        <w:t>LEN guided for sequential margin improvement in Q3 FY2026, with incentives expected to continue declining gradually. Management is focused on maintaining volume while allowing pricing to catch up with pace.</w:t>
      </w:r>
    </w:p>
    <w:tbl>
      <w:tblPr>
        <w:tblStyle w:val="TableGrid"/>
        <w:tblW w:type="auto" w:w="0"/>
        <w:tblLook w:firstColumn="1" w:firstRow="1" w:lastColumn="0" w:lastRow="0" w:noHBand="0" w:noVBand="1" w:val="04A0"/>
      </w:tblPr>
      <w:tblGrid>
        <w:gridCol w:w="8640"/>
      </w:tblGrid>
      <w:tr>
        <w:tc>
          <w:tcPr>
            <w:tcW w:type="dxa" w:w="8640"/>
            <w:shd w:val="clear" w:color="auto" w:fill="3B4259"/>
          </w:tcPr>
          <w:p>
            <w:r>
              <w:rPr>
                <w:rFonts w:ascii="Calibri" w:hAnsi="Calibri"/>
                <w:b/>
                <w:color w:val="FFFFFF"/>
                <w:sz w:val="22"/>
              </w:rPr>
              <w:t>DHI Read-Through Implication</w:t>
            </w:r>
          </w:p>
        </w:tc>
      </w:tr>
      <w:tr>
        <w:tc>
          <w:tcPr>
            <w:tcW w:type="dxa" w:w="8640"/>
          </w:tcPr>
          <w:p>
            <w:r>
              <w:rPr>
                <w:rFonts w:ascii="Calibri" w:hAnsi="Calibri"/>
                <w:b/>
                <w:sz w:val="22"/>
              </w:rPr>
              <w:t xml:space="preserve">Positive: </w:t>
            </w:r>
            <w:r>
              <w:rPr>
                <w:rFonts w:ascii="Calibri" w:hAnsi="Calibri"/>
                <w:sz w:val="22"/>
              </w:rPr>
              <w:t>LEN’s first sustainable incentive decline in three years is the most important read-through for DHI. If the industry leader in incentive deployment is seeing costs come down, DHI — which guided for “stable” incentives from Q2 to Q3 — may be positioned to surprise positively on gross margin. The 7% YoY decline in LEN’s construction cost per sq ft directly validates DHI’s own cost savings narrative. The macro backdrop (rates at 6.4%–6.5%, measured buyer urgency) is consistent with DHI’s own characterization of demand as “good but not energized.” The energy-driven inflation spike is a new risk factor to watch for consumer confidence in June.</w:t>
            </w:r>
          </w:p>
        </w:tc>
      </w:tr>
    </w:tbl>
    <w:p>
      <w:pPr>
        <w:pStyle w:val="Heading3"/>
      </w:pPr>
      <w:r>
        <w:rPr>
          <w:rFonts w:ascii="Calibri" w:hAnsi="Calibri"/>
          <w:b/>
          <w:color w:val="3B4259"/>
          <w:sz w:val="24"/>
        </w:rPr>
        <w:t>Toll Brothers (TOL) — Q2 FY2026 Earnings Call (May 20, 2026)</w:t>
      </w:r>
    </w:p>
    <w:p>
      <w:r>
        <w:rPr>
          <w:rFonts w:ascii="Calibri" w:hAnsi="Calibri"/>
          <w:b/>
          <w:color w:val="525866"/>
          <w:sz w:val="22"/>
        </w:rPr>
        <w:t xml:space="preserve">Reporting Period Overlap: </w:t>
      </w:r>
      <w:r>
        <w:rPr>
          <w:rFonts w:ascii="Calibri" w:hAnsi="Calibri"/>
          <w:color w:val="525866"/>
          <w:sz w:val="22"/>
        </w:rPr>
        <w:t>TOL’s Q2 FY2026 (February–April 2026) overlaps with the first month of DHI’s Q3 FY2026 (April 2026). TOL’s forward guidance and market commentary covers the early part of DHI’s current quarter.</w:t>
      </w:r>
    </w:p>
    <w:p>
      <w:pPr>
        <w:pStyle w:val="Heading4"/>
      </w:pPr>
      <w:r>
        <w:rPr>
          <w:rFonts w:ascii="Calibri" w:hAnsi="Calibri"/>
          <w:b/>
          <w:color w:val="3B4259"/>
          <w:sz w:val="22"/>
        </w:rPr>
        <w:t>Demand &amp; Affordability</w:t>
      </w:r>
    </w:p>
    <w:p>
      <w:pPr>
        <w:pStyle w:val="ListBullet"/>
        <w:ind w:left="360" w:hanging="360"/>
      </w:pPr>
      <w:r>
        <w:rPr>
          <w:rFonts w:ascii="Calibri" w:hAnsi="Calibri"/>
          <w:b/>
          <w:color w:val="525866"/>
          <w:sz w:val="22"/>
        </w:rPr>
        <w:t xml:space="preserve">Higher-end market performing well: </w:t>
      </w:r>
      <w:r>
        <w:rPr>
          <w:rFonts w:ascii="Calibri" w:hAnsi="Calibri"/>
          <w:color w:val="525866"/>
          <w:sz w:val="22"/>
        </w:rPr>
        <w:t>TOL’s luxury/move-up segment showed resilience, with buyers in the $700K+ price range demonstrating stronger conviction than entry-level buyers. Cash buyers and buyers with strong personal balance sheets are less sensitive to mortgage rate levels.</w:t>
      </w:r>
    </w:p>
    <w:p>
      <w:pPr>
        <w:pStyle w:val="ListBullet"/>
        <w:ind w:left="360" w:hanging="360"/>
      </w:pPr>
      <w:r>
        <w:rPr>
          <w:rFonts w:ascii="Calibri" w:hAnsi="Calibri"/>
          <w:b/>
          <w:color w:val="525866"/>
          <w:sz w:val="22"/>
        </w:rPr>
        <w:t xml:space="preserve">K-shaped demand dynamic: </w:t>
      </w:r>
      <w:r>
        <w:rPr>
          <w:rFonts w:ascii="Calibri" w:hAnsi="Calibri"/>
          <w:color w:val="525866"/>
          <w:sz w:val="22"/>
        </w:rPr>
        <w:t>Industry commentary from the TOL call period highlighted a bifurcated market — higher-end new homes (priced at ~$950K) performing “extremely well,” while affordability is “really plaguing the entry-level buyer.” This is directly relevant to DHI, which operates primarily in the entry-level and first-time buyer segment.</w:t>
      </w:r>
    </w:p>
    <w:p>
      <w:pPr>
        <w:pStyle w:val="ListBullet"/>
        <w:ind w:left="360" w:hanging="360"/>
      </w:pPr>
      <w:r>
        <w:rPr>
          <w:rFonts w:ascii="Calibri" w:hAnsi="Calibri"/>
          <w:b/>
          <w:color w:val="525866"/>
          <w:sz w:val="22"/>
        </w:rPr>
        <w:t xml:space="preserve">Geographic divergence: </w:t>
      </w:r>
      <w:r>
        <w:rPr>
          <w:rFonts w:ascii="Calibri" w:hAnsi="Calibri"/>
          <w:color w:val="525866"/>
          <w:sz w:val="22"/>
        </w:rPr>
        <w:t>Markets with heavy software/tech industry exposure showing softness (consistent with DHI’s own Q2 commentary about tech-exposed markets). Sun Belt markets (South Texas, Florida, Carolinas) continue to lead in new home construction due to less regulation and more affordable land.</w:t>
      </w:r>
    </w:p>
    <w:p>
      <w:pPr>
        <w:pStyle w:val="Heading4"/>
      </w:pPr>
      <w:r>
        <w:rPr>
          <w:rFonts w:ascii="Calibri" w:hAnsi="Calibri"/>
          <w:b/>
          <w:color w:val="3B4259"/>
          <w:sz w:val="22"/>
        </w:rPr>
        <w:t>Incentives &amp; Pricing</w:t>
      </w:r>
    </w:p>
    <w:p>
      <w:pPr>
        <w:pStyle w:val="ListBullet"/>
        <w:ind w:left="360" w:hanging="360"/>
      </w:pPr>
      <w:r>
        <w:rPr>
          <w:rFonts w:ascii="Calibri" w:hAnsi="Calibri"/>
          <w:color w:val="525866"/>
          <w:sz w:val="22"/>
        </w:rPr>
        <w:t>TOL’s higher price point means less reliance on rate buydowns vs. DHI. However, TOL noted that buyers are “shopping for an improved quality of life and a payment they can afford” — consistent with DHI’s own characterization of buyer behavior.</w:t>
      </w:r>
    </w:p>
    <w:p>
      <w:pPr>
        <w:pStyle w:val="Heading4"/>
      </w:pPr>
      <w:r>
        <w:rPr>
          <w:rFonts w:ascii="Calibri" w:hAnsi="Calibri"/>
          <w:b/>
          <w:color w:val="3B4259"/>
          <w:sz w:val="22"/>
        </w:rPr>
        <w:t>Land &amp; Supply</w:t>
      </w:r>
    </w:p>
    <w:p>
      <w:pPr>
        <w:pStyle w:val="ListBullet"/>
        <w:ind w:left="360" w:hanging="360"/>
      </w:pPr>
      <w:r>
        <w:rPr>
          <w:rFonts w:ascii="Calibri" w:hAnsi="Calibri"/>
          <w:b/>
          <w:color w:val="525866"/>
          <w:sz w:val="22"/>
        </w:rPr>
        <w:t xml:space="preserve">Builders aggressively buying finished lots: </w:t>
      </w:r>
      <w:r>
        <w:rPr>
          <w:rFonts w:ascii="Calibri" w:hAnsi="Calibri"/>
          <w:color w:val="525866"/>
          <w:sz w:val="22"/>
        </w:rPr>
        <w:t>Industry commentary noted that builders are “aggressively buying finished lots today” — buying land that’s ready to build — suggesting bullishness on the medium-term outlook despite near-term caution on starts. This is consistent with DHI’s own land banking strategy.</w:t>
      </w:r>
    </w:p>
    <w:p>
      <w:pPr>
        <w:pStyle w:val="ListBullet"/>
        <w:ind w:left="360" w:hanging="360"/>
      </w:pPr>
      <w:r>
        <w:rPr>
          <w:rFonts w:ascii="Calibri" w:hAnsi="Calibri"/>
          <w:b/>
          <w:color w:val="525866"/>
          <w:sz w:val="22"/>
        </w:rPr>
        <w:t xml:space="preserve">Shift toward build-to-order: </w:t>
      </w:r>
      <w:r>
        <w:rPr>
          <w:rFonts w:ascii="Calibri" w:hAnsi="Calibri"/>
          <w:color w:val="525866"/>
          <w:sz w:val="22"/>
        </w:rPr>
        <w:t>Builders are “starting fewer homes and going more towards build-to-order and wanting to build less spec homes.” DHI has been managing spec inventory actively, and this industry-wide shift supports DHI’s strategy of selling earlier in the construction process.</w:t>
      </w:r>
    </w:p>
    <w:p>
      <w:pPr>
        <w:pStyle w:val="ListBullet"/>
        <w:ind w:left="360" w:hanging="360"/>
      </w:pPr>
      <w:r>
        <w:rPr>
          <w:rFonts w:ascii="Calibri" w:hAnsi="Calibri"/>
          <w:b/>
          <w:color w:val="525866"/>
          <w:sz w:val="22"/>
        </w:rPr>
        <w:t xml:space="preserve">Build-for-rent (BFR) developers on the sidelines: </w:t>
      </w:r>
      <w:r>
        <w:rPr>
          <w:rFonts w:ascii="Calibri" w:hAnsi="Calibri"/>
          <w:color w:val="525866"/>
          <w:sz w:val="22"/>
        </w:rPr>
        <w:t>BFR developers are “waiting to see how this shakes out” on policy before re-engaging. This is consistent with DHI’s own commentary about BFR uncertainty and the pending legislation risk.</w:t>
      </w:r>
    </w:p>
    <w:tbl>
      <w:tblPr>
        <w:tblStyle w:val="TableGrid"/>
        <w:tblW w:type="auto" w:w="0"/>
        <w:tblLook w:firstColumn="1" w:firstRow="1" w:lastColumn="0" w:lastRow="0" w:noHBand="0" w:noVBand="1" w:val="04A0"/>
      </w:tblPr>
      <w:tblGrid>
        <w:gridCol w:w="8640"/>
      </w:tblGrid>
      <w:tr>
        <w:tc>
          <w:tcPr>
            <w:tcW w:type="dxa" w:w="8640"/>
            <w:shd w:val="clear" w:color="auto" w:fill="3B4259"/>
          </w:tcPr>
          <w:p>
            <w:r>
              <w:rPr>
                <w:rFonts w:ascii="Calibri" w:hAnsi="Calibri"/>
                <w:b/>
                <w:color w:val="FFFFFF"/>
                <w:sz w:val="22"/>
              </w:rPr>
              <w:t>DHI Read-Through Implication</w:t>
            </w:r>
          </w:p>
        </w:tc>
      </w:tr>
      <w:tr>
        <w:tc>
          <w:tcPr>
            <w:tcW w:type="dxa" w:w="8640"/>
          </w:tcPr>
          <w:p>
            <w:r>
              <w:rPr>
                <w:rFonts w:ascii="Calibri" w:hAnsi="Calibri"/>
                <w:b/>
                <w:sz w:val="22"/>
              </w:rPr>
              <w:t xml:space="preserve">Mixed: </w:t>
            </w:r>
            <w:r>
              <w:rPr>
                <w:rFonts w:ascii="Calibri" w:hAnsi="Calibri"/>
                <w:sz w:val="22"/>
              </w:rPr>
              <w:t>TOL’s read-through for DHI is mixed. The K-shaped demand dynamic — with higher-end buyers resilient but entry-level buyers under affordability pressure — is a headwind for DHI specifically, given its entry-level focus. However, the industry-wide shift toward build-to-order and aggressive lot buying is consistent with DHI’s own strategy and suggests the sector is managing supply discipline well. The BFR uncertainty is a known risk that DHI has already flagged. The geographic commentary (Sun Belt strength, tech-market softness) is consistent with DHI’s own regional observations.</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No material negative news has emerged since Q2 earnings. The most notable development is the DHI Mortgage repurchase facility amendment (May 12), which is a modest positive for financial flexibility. The broader housing policy debate (bipartisan housing bill, BFR legislation) remains a background risk but has not materially changed the near-term outlook.</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Significance for DHI</w:t>
            </w:r>
          </w:p>
        </w:tc>
      </w:tr>
      <w:tr>
        <w:tc>
          <w:tcPr>
            <w:tcW w:type="dxa" w:w="2880"/>
          </w:tcPr>
          <w:p>
            <w:r>
              <w:rPr>
                <w:rFonts w:ascii="Calibri" w:hAnsi="Calibri"/>
                <w:sz w:val="22"/>
              </w:rPr>
              <w:t>May 12, 2026</w:t>
            </w:r>
          </w:p>
        </w:tc>
        <w:tc>
          <w:tcPr>
            <w:tcW w:type="dxa" w:w="2880"/>
          </w:tcPr>
          <w:p>
            <w:r>
              <w:rPr>
                <w:rFonts w:ascii="Calibri" w:hAnsi="Calibri"/>
                <w:sz w:val="22"/>
              </w:rPr>
              <w:t>DHI Mortgage Amends Repurchase Facility to $1.925B</w:t>
            </w:r>
          </w:p>
        </w:tc>
        <w:tc>
          <w:tcPr>
            <w:tcW w:type="dxa" w:w="2880"/>
          </w:tcPr>
          <w:p>
            <w:r>
              <w:rPr>
                <w:rFonts w:ascii="Calibri" w:hAnsi="Calibri"/>
                <w:sz w:val="22"/>
              </w:rPr>
              <w:t>Positive — increases financial flexibility for DHI’s mortgage subsidiary; supports the company’s ability to offer rate buydowns and financing incentives to buyers. Consistent with management’s commitment to ~$2.5B in share repurchases for FY2026.</w:t>
            </w:r>
          </w:p>
        </w:tc>
      </w:tr>
      <w:tr>
        <w:tc>
          <w:tcPr>
            <w:tcW w:type="dxa" w:w="2880"/>
          </w:tcPr>
          <w:p>
            <w:r>
              <w:rPr>
                <w:rFonts w:ascii="Calibri" w:hAnsi="Calibri"/>
                <w:sz w:val="22"/>
              </w:rPr>
              <w:t>May 19, 2026</w:t>
            </w:r>
          </w:p>
        </w:tc>
        <w:tc>
          <w:tcPr>
            <w:tcW w:type="dxa" w:w="2880"/>
          </w:tcPr>
          <w:p>
            <w:r>
              <w:rPr>
                <w:rFonts w:ascii="Calibri" w:hAnsi="Calibri"/>
                <w:sz w:val="22"/>
              </w:rPr>
              <w:t>DHI Announces Q3 FY2026 Earnings Release Date: July 21, 2026</w:t>
            </w:r>
          </w:p>
        </w:tc>
        <w:tc>
          <w:tcPr>
            <w:tcW w:type="dxa" w:w="2880"/>
          </w:tcPr>
          <w:p>
            <w:r>
              <w:rPr>
                <w:rFonts w:ascii="Calibri" w:hAnsi="Calibri"/>
                <w:sz w:val="22"/>
              </w:rPr>
              <w:t>Neutral — confirms earnings date. No change to guidance or outlook.</w:t>
            </w:r>
          </w:p>
        </w:tc>
      </w:tr>
      <w:tr>
        <w:tc>
          <w:tcPr>
            <w:tcW w:type="dxa" w:w="2880"/>
          </w:tcPr>
          <w:p>
            <w:r>
              <w:rPr>
                <w:rFonts w:ascii="Calibri" w:hAnsi="Calibri"/>
                <w:sz w:val="22"/>
              </w:rPr>
              <w:t>June 24, 2026</w:t>
            </w:r>
          </w:p>
        </w:tc>
        <w:tc>
          <w:tcPr>
            <w:tcW w:type="dxa" w:w="2880"/>
          </w:tcPr>
          <w:p>
            <w:r>
              <w:rPr>
                <w:rFonts w:ascii="Calibri" w:hAnsi="Calibri"/>
                <w:sz w:val="22"/>
              </w:rPr>
              <w:t>President Trump Cancels Plans to Sign Bipartisan Housing Bill</w:t>
            </w:r>
          </w:p>
        </w:tc>
        <w:tc>
          <w:tcPr>
            <w:tcW w:type="dxa" w:w="2880"/>
          </w:tcPr>
          <w:p>
            <w:r>
              <w:rPr>
                <w:rFonts w:ascii="Calibri" w:hAnsi="Calibri"/>
                <w:sz w:val="22"/>
              </w:rPr>
              <w:t>Neutral to Slightly Negative — the bill would have helped with environmental deregulation, smaller bank lending, and manufactured housing deregulation. However, industry experts note that federal-level impact on housing supply is limited; local zoning and permitting are the primary drivers. DHI’s business is not materially dependent on this legislation.</w:t>
            </w:r>
          </w:p>
        </w:tc>
      </w:tr>
      <w:tr>
        <w:tc>
          <w:tcPr>
            <w:tcW w:type="dxa" w:w="2880"/>
          </w:tcPr>
          <w:p>
            <w:r>
              <w:rPr>
                <w:rFonts w:ascii="Calibri" w:hAnsi="Calibri"/>
                <w:sz w:val="22"/>
              </w:rPr>
              <w:t>Ongoing</w:t>
            </w:r>
          </w:p>
        </w:tc>
        <w:tc>
          <w:tcPr>
            <w:tcW w:type="dxa" w:w="2880"/>
          </w:tcPr>
          <w:p>
            <w:r>
              <w:rPr>
                <w:rFonts w:ascii="Calibri" w:hAnsi="Calibri"/>
                <w:sz w:val="22"/>
              </w:rPr>
              <w:t>Build-for-Rent (BFR) Legislation Uncertainty</w:t>
            </w:r>
          </w:p>
        </w:tc>
        <w:tc>
          <w:tcPr>
            <w:tcW w:type="dxa" w:w="2880"/>
          </w:tcPr>
          <w:p>
            <w:r>
              <w:rPr>
                <w:rFonts w:ascii="Calibri" w:hAnsi="Calibri"/>
                <w:sz w:val="22"/>
              </w:rPr>
              <w:t>Watch — Pending legislation with potential mandatory multi-year sale requirements is creating uncertainty and a pause among institutional buyers. DHI has underwritten BFR communities as for-sale and is focused on forward sales (contract-first starts) to limit exposure. Management has noted that land bankers represent only a mid-single-digit share of the total lot portfolio.</w:t>
            </w:r>
          </w:p>
        </w:tc>
      </w:tr>
      <w:tr>
        <w:tc>
          <w:tcPr>
            <w:tcW w:type="dxa" w:w="2880"/>
          </w:tcPr>
          <w:p>
            <w:r>
              <w:rPr>
                <w:rFonts w:ascii="Calibri" w:hAnsi="Calibri"/>
                <w:sz w:val="22"/>
              </w:rPr>
              <w:t>Ongoing</w:t>
            </w:r>
          </w:p>
        </w:tc>
        <w:tc>
          <w:tcPr>
            <w:tcW w:type="dxa" w:w="2880"/>
          </w:tcPr>
          <w:p>
            <w:r>
              <w:rPr>
                <w:rFonts w:ascii="Calibri" w:hAnsi="Calibri"/>
                <w:sz w:val="22"/>
              </w:rPr>
              <w:t>Tariff &amp; Material Cost Risk</w:t>
            </w:r>
          </w:p>
        </w:tc>
        <w:tc>
          <w:tcPr>
            <w:tcW w:type="dxa" w:w="2880"/>
          </w:tcPr>
          <w:p>
            <w:r>
              <w:rPr>
                <w:rFonts w:ascii="Calibri" w:hAnsi="Calibri"/>
                <w:sz w:val="22"/>
              </w:rPr>
              <w:t>Watch — Elevated oil prices and tariff uncertainty on building materials (lumber, steel, appliances) remain a background risk. DHI has cited construction cost savings as a key margin lever, but tariff escalation could offset these gains. LEN’s 7% YoY decline in cost/sq ft suggests the industry is managing this risk effectively so far.</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Q2 earnings are routine RSU vesting and tax withholding events — no discretionary open-market purchases or sales. The absence of any open-market buying or selling by insiders is neutral; it does not signal either elevated confidence or concern heading into Q3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Insider</w:t>
            </w:r>
          </w:p>
        </w:tc>
        <w:tc>
          <w:tcPr>
            <w:tcW w:type="dxa" w:w="1440"/>
            <w:shd w:val="clear" w:color="auto" w:fill="3B4259"/>
          </w:tcPr>
          <w:p>
            <w:r>
              <w:rPr>
                <w:rFonts w:ascii="Calibri" w:hAnsi="Calibri"/>
                <w:b/>
                <w:color w:val="FFFFFF"/>
                <w:sz w:val="22"/>
              </w:rPr>
              <w:t>Role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Nature</w:t>
            </w:r>
          </w:p>
        </w:tc>
      </w:tr>
      <w:tr>
        <w:tc>
          <w:tcPr>
            <w:tcW w:type="dxa" w:w="1440"/>
          </w:tcPr>
          <w:p>
            <w:r>
              <w:rPr>
                <w:rFonts w:ascii="Calibri" w:hAnsi="Calibri"/>
                <w:sz w:val="22"/>
              </w:rPr>
              <w:t>Paul J. Romanowski</w:t>
            </w:r>
          </w:p>
        </w:tc>
        <w:tc>
          <w:tcPr>
            <w:tcW w:type="dxa" w:w="1440"/>
          </w:tcPr>
          <w:p>
            <w:r>
              <w:rPr>
                <w:rFonts w:ascii="Calibri" w:hAnsi="Calibri"/>
                <w:sz w:val="22"/>
              </w:rPr>
              <w:t>President &amp; CEO</w:t>
            </w:r>
          </w:p>
        </w:tc>
        <w:tc>
          <w:tcPr>
            <w:tcW w:type="dxa" w:w="1440"/>
          </w:tcPr>
          <w:p>
            <w:r>
              <w:rPr>
                <w:rFonts w:ascii="Calibri" w:hAnsi="Calibri"/>
                <w:sz w:val="22"/>
              </w:rPr>
              <w:t>Apr 20–22, 2026</w:t>
            </w:r>
          </w:p>
        </w:tc>
        <w:tc>
          <w:tcPr>
            <w:tcW w:type="dxa" w:w="1440"/>
          </w:tcPr>
          <w:p>
            <w:r>
              <w:rPr>
                <w:rFonts w:ascii="Calibri" w:hAnsi="Calibri"/>
                <w:sz w:val="22"/>
              </w:rPr>
              <w:t>RSU Vest (M) + Tax Withholding (F) + Award (A)</w:t>
            </w:r>
          </w:p>
        </w:tc>
        <w:tc>
          <w:tcPr>
            <w:tcW w:type="dxa" w:w="1440"/>
          </w:tcPr>
          <w:p>
            <w:r>
              <w:rPr>
                <w:rFonts w:ascii="Calibri" w:hAnsi="Calibri"/>
                <w:sz w:val="22"/>
              </w:rPr>
              <w:t>2,370 vested; 933 withheld; 7,665 awarded</w:t>
            </w:r>
          </w:p>
        </w:tc>
        <w:tc>
          <w:tcPr>
            <w:tcW w:type="dxa" w:w="1440"/>
          </w:tcPr>
          <w:p>
            <w:r>
              <w:rPr>
                <w:rFonts w:ascii="Calibri" w:hAnsi="Calibri"/>
                <w:sz w:val="22"/>
              </w:rPr>
              <w:t>Routine RSU vesting; no open-market sale</w:t>
            </w:r>
          </w:p>
        </w:tc>
      </w:tr>
      <w:tr>
        <w:tc>
          <w:tcPr>
            <w:tcW w:type="dxa" w:w="1440"/>
          </w:tcPr>
          <w:p>
            <w:r>
              <w:rPr>
                <w:rFonts w:ascii="Calibri" w:hAnsi="Calibri"/>
                <w:sz w:val="22"/>
              </w:rPr>
              <w:t>Michael J. Murray</w:t>
            </w:r>
          </w:p>
        </w:tc>
        <w:tc>
          <w:tcPr>
            <w:tcW w:type="dxa" w:w="1440"/>
          </w:tcPr>
          <w:p>
            <w:r>
              <w:rPr>
                <w:rFonts w:ascii="Calibri" w:hAnsi="Calibri"/>
                <w:sz w:val="22"/>
              </w:rPr>
              <w:t>EVP &amp; COO</w:t>
            </w:r>
          </w:p>
        </w:tc>
        <w:tc>
          <w:tcPr>
            <w:tcW w:type="dxa" w:w="1440"/>
          </w:tcPr>
          <w:p>
            <w:r>
              <w:rPr>
                <w:rFonts w:ascii="Calibri" w:hAnsi="Calibri"/>
                <w:sz w:val="22"/>
              </w:rPr>
              <w:t>Apr 20–22, 2026</w:t>
            </w:r>
          </w:p>
        </w:tc>
        <w:tc>
          <w:tcPr>
            <w:tcW w:type="dxa" w:w="1440"/>
          </w:tcPr>
          <w:p>
            <w:r>
              <w:rPr>
                <w:rFonts w:ascii="Calibri" w:hAnsi="Calibri"/>
                <w:sz w:val="22"/>
              </w:rPr>
              <w:t>RSU Vest (M) + Tax Withholding (F) + Award (A)</w:t>
            </w:r>
          </w:p>
        </w:tc>
        <w:tc>
          <w:tcPr>
            <w:tcW w:type="dxa" w:w="1440"/>
          </w:tcPr>
          <w:p>
            <w:r>
              <w:rPr>
                <w:rFonts w:ascii="Calibri" w:hAnsi="Calibri"/>
                <w:sz w:val="22"/>
              </w:rPr>
              <w:t>2,370 vested; 933 withheld; 6,388 awarded</w:t>
            </w:r>
          </w:p>
        </w:tc>
        <w:tc>
          <w:tcPr>
            <w:tcW w:type="dxa" w:w="1440"/>
          </w:tcPr>
          <w:p>
            <w:r>
              <w:rPr>
                <w:rFonts w:ascii="Calibri" w:hAnsi="Calibri"/>
                <w:sz w:val="22"/>
              </w:rPr>
              <w:t>Routine RSU vesting; no open-market sale</w:t>
            </w:r>
          </w:p>
        </w:tc>
      </w:tr>
      <w:tr>
        <w:tc>
          <w:tcPr>
            <w:tcW w:type="dxa" w:w="1440"/>
          </w:tcPr>
          <w:p>
            <w:r>
              <w:rPr>
                <w:rFonts w:ascii="Calibri" w:hAnsi="Calibri"/>
                <w:sz w:val="22"/>
              </w:rPr>
              <w:t>Bill W. Wheat</w:t>
            </w:r>
          </w:p>
        </w:tc>
        <w:tc>
          <w:tcPr>
            <w:tcW w:type="dxa" w:w="1440"/>
          </w:tcPr>
          <w:p>
            <w:r>
              <w:rPr>
                <w:rFonts w:ascii="Calibri" w:hAnsi="Calibri"/>
                <w:sz w:val="22"/>
              </w:rPr>
              <w:t>EVP &amp; CFO</w:t>
            </w:r>
          </w:p>
        </w:tc>
        <w:tc>
          <w:tcPr>
            <w:tcW w:type="dxa" w:w="1440"/>
          </w:tcPr>
          <w:p>
            <w:r>
              <w:rPr>
                <w:rFonts w:ascii="Calibri" w:hAnsi="Calibri"/>
                <w:sz w:val="22"/>
              </w:rPr>
              <w:t>Apr 20–22, 2026</w:t>
            </w:r>
          </w:p>
        </w:tc>
        <w:tc>
          <w:tcPr>
            <w:tcW w:type="dxa" w:w="1440"/>
          </w:tcPr>
          <w:p>
            <w:r>
              <w:rPr>
                <w:rFonts w:ascii="Calibri" w:hAnsi="Calibri"/>
                <w:sz w:val="22"/>
              </w:rPr>
              <w:t>RSU Vest (M) + Tax Withholding (F) + Award (A)</w:t>
            </w:r>
          </w:p>
        </w:tc>
        <w:tc>
          <w:tcPr>
            <w:tcW w:type="dxa" w:w="1440"/>
          </w:tcPr>
          <w:p>
            <w:r>
              <w:rPr>
                <w:rFonts w:ascii="Calibri" w:hAnsi="Calibri"/>
                <w:sz w:val="22"/>
              </w:rPr>
              <w:t>1,580 vested; 622 withheld; 5,110 awarded</w:t>
            </w:r>
          </w:p>
        </w:tc>
        <w:tc>
          <w:tcPr>
            <w:tcW w:type="dxa" w:w="1440"/>
          </w:tcPr>
          <w:p>
            <w:r>
              <w:rPr>
                <w:rFonts w:ascii="Calibri" w:hAnsi="Calibri"/>
                <w:sz w:val="22"/>
              </w:rPr>
              <w:t>Routine RSU vesting; no open-market sale</w:t>
            </w:r>
          </w:p>
        </w:tc>
      </w:tr>
      <w:tr>
        <w:tc>
          <w:tcPr>
            <w:tcW w:type="dxa" w:w="1440"/>
          </w:tcPr>
          <w:p>
            <w:r>
              <w:rPr>
                <w:rFonts w:ascii="Calibri" w:hAnsi="Calibri"/>
                <w:sz w:val="22"/>
              </w:rPr>
              <w:t>David V. Auld</w:t>
            </w:r>
          </w:p>
        </w:tc>
        <w:tc>
          <w:tcPr>
            <w:tcW w:type="dxa" w:w="1440"/>
          </w:tcPr>
          <w:p>
            <w:r>
              <w:rPr>
                <w:rFonts w:ascii="Calibri" w:hAnsi="Calibri"/>
                <w:sz w:val="22"/>
              </w:rPr>
              <w:t>Executive Chairman</w:t>
            </w:r>
          </w:p>
        </w:tc>
        <w:tc>
          <w:tcPr>
            <w:tcW w:type="dxa" w:w="1440"/>
          </w:tcPr>
          <w:p>
            <w:r>
              <w:rPr>
                <w:rFonts w:ascii="Calibri" w:hAnsi="Calibri"/>
                <w:sz w:val="22"/>
              </w:rPr>
              <w:t>Apr 20–22, 2026</w:t>
            </w:r>
          </w:p>
        </w:tc>
        <w:tc>
          <w:tcPr>
            <w:tcW w:type="dxa" w:w="1440"/>
          </w:tcPr>
          <w:p>
            <w:r>
              <w:rPr>
                <w:rFonts w:ascii="Calibri" w:hAnsi="Calibri"/>
                <w:sz w:val="22"/>
              </w:rPr>
              <w:t>RSU Vest (M) + Tax Withholding (F) + Award (A)</w:t>
            </w:r>
          </w:p>
        </w:tc>
        <w:tc>
          <w:tcPr>
            <w:tcW w:type="dxa" w:w="1440"/>
          </w:tcPr>
          <w:p>
            <w:r>
              <w:rPr>
                <w:rFonts w:ascii="Calibri" w:hAnsi="Calibri"/>
                <w:sz w:val="22"/>
              </w:rPr>
              <w:t>7,016 vested; 1,618 withheld; 5,110 awarded</w:t>
            </w:r>
          </w:p>
        </w:tc>
        <w:tc>
          <w:tcPr>
            <w:tcW w:type="dxa" w:w="1440"/>
          </w:tcPr>
          <w:p>
            <w:r>
              <w:rPr>
                <w:rFonts w:ascii="Calibri" w:hAnsi="Calibri"/>
                <w:sz w:val="22"/>
              </w:rPr>
              <w:t>Routine RSU vesting; no open-market sale</w:t>
            </w:r>
          </w:p>
        </w:tc>
      </w:tr>
      <w:tr>
        <w:tc>
          <w:tcPr>
            <w:tcW w:type="dxa" w:w="1440"/>
          </w:tcPr>
          <w:p>
            <w:r>
              <w:rPr>
                <w:rFonts w:ascii="Calibri" w:hAnsi="Calibri"/>
                <w:sz w:val="22"/>
              </w:rPr>
              <w:t>Bradley S. Anderson</w:t>
            </w:r>
          </w:p>
        </w:tc>
        <w:tc>
          <w:tcPr>
            <w:tcW w:type="dxa" w:w="1440"/>
          </w:tcPr>
          <w:p>
            <w:r>
              <w:rPr>
                <w:rFonts w:ascii="Calibri" w:hAnsi="Calibri"/>
                <w:sz w:val="22"/>
              </w:rPr>
              <w:t>Director</w:t>
            </w:r>
          </w:p>
        </w:tc>
        <w:tc>
          <w:tcPr>
            <w:tcW w:type="dxa" w:w="1440"/>
          </w:tcPr>
          <w:p>
            <w:r>
              <w:rPr>
                <w:rFonts w:ascii="Calibri" w:hAnsi="Calibri"/>
                <w:sz w:val="22"/>
              </w:rPr>
              <w:t>Apr 20, 2026</w:t>
            </w:r>
          </w:p>
        </w:tc>
        <w:tc>
          <w:tcPr>
            <w:tcW w:type="dxa" w:w="1440"/>
          </w:tcPr>
          <w:p>
            <w:r>
              <w:rPr>
                <w:rFonts w:ascii="Calibri" w:hAnsi="Calibri"/>
                <w:sz w:val="22"/>
              </w:rPr>
              <w:t>RSU Vest (M)</w:t>
            </w:r>
          </w:p>
        </w:tc>
        <w:tc>
          <w:tcPr>
            <w:tcW w:type="dxa" w:w="1440"/>
          </w:tcPr>
          <w:p>
            <w:r>
              <w:rPr>
                <w:rFonts w:ascii="Calibri" w:hAnsi="Calibri"/>
                <w:sz w:val="22"/>
              </w:rPr>
              <w:t>139 vested</w:t>
            </w:r>
          </w:p>
        </w:tc>
        <w:tc>
          <w:tcPr>
            <w:tcW w:type="dxa" w:w="1440"/>
          </w:tcPr>
          <w:p>
            <w:r>
              <w:rPr>
                <w:rFonts w:ascii="Calibri" w:hAnsi="Calibri"/>
                <w:sz w:val="22"/>
              </w:rPr>
              <w:t>Routine RSU vesting</w:t>
            </w:r>
          </w:p>
        </w:tc>
      </w:tr>
      <w:tr>
        <w:tc>
          <w:tcPr>
            <w:tcW w:type="dxa" w:w="1440"/>
          </w:tcPr>
          <w:p>
            <w:r>
              <w:rPr>
                <w:rFonts w:ascii="Calibri" w:hAnsi="Calibri"/>
                <w:sz w:val="22"/>
              </w:rPr>
              <w:t>Benjamin S. Carson Sr.</w:t>
            </w:r>
          </w:p>
        </w:tc>
        <w:tc>
          <w:tcPr>
            <w:tcW w:type="dxa" w:w="1440"/>
          </w:tcPr>
          <w:p>
            <w:r>
              <w:rPr>
                <w:rFonts w:ascii="Calibri" w:hAnsi="Calibri"/>
                <w:sz w:val="22"/>
              </w:rPr>
              <w:t>Director</w:t>
            </w:r>
          </w:p>
        </w:tc>
        <w:tc>
          <w:tcPr>
            <w:tcW w:type="dxa" w:w="1440"/>
          </w:tcPr>
          <w:p>
            <w:r>
              <w:rPr>
                <w:rFonts w:ascii="Calibri" w:hAnsi="Calibri"/>
                <w:sz w:val="22"/>
              </w:rPr>
              <w:t>Apr 20, 2026</w:t>
            </w:r>
          </w:p>
        </w:tc>
        <w:tc>
          <w:tcPr>
            <w:tcW w:type="dxa" w:w="1440"/>
          </w:tcPr>
          <w:p>
            <w:r>
              <w:rPr>
                <w:rFonts w:ascii="Calibri" w:hAnsi="Calibri"/>
                <w:sz w:val="22"/>
              </w:rPr>
              <w:t>RSU Vest (M)</w:t>
            </w:r>
          </w:p>
        </w:tc>
        <w:tc>
          <w:tcPr>
            <w:tcW w:type="dxa" w:w="1440"/>
          </w:tcPr>
          <w:p>
            <w:r>
              <w:rPr>
                <w:rFonts w:ascii="Calibri" w:hAnsi="Calibri"/>
                <w:sz w:val="22"/>
              </w:rPr>
              <w:t>683 vested</w:t>
            </w:r>
          </w:p>
        </w:tc>
        <w:tc>
          <w:tcPr>
            <w:tcW w:type="dxa" w:w="1440"/>
          </w:tcPr>
          <w:p>
            <w:r>
              <w:rPr>
                <w:rFonts w:ascii="Calibri" w:hAnsi="Calibri"/>
                <w:sz w:val="22"/>
              </w:rPr>
              <w:t>Routine RSU vesting</w:t>
            </w:r>
          </w:p>
        </w:tc>
      </w:tr>
      <w:tr>
        <w:tc>
          <w:tcPr>
            <w:tcW w:type="dxa" w:w="1440"/>
          </w:tcPr>
          <w:p>
            <w:r>
              <w:rPr>
                <w:rFonts w:ascii="Calibri" w:hAnsi="Calibri"/>
                <w:sz w:val="22"/>
              </w:rPr>
              <w:t>Maribess L. Miller</w:t>
            </w:r>
          </w:p>
        </w:tc>
        <w:tc>
          <w:tcPr>
            <w:tcW w:type="dxa" w:w="1440"/>
          </w:tcPr>
          <w:p>
            <w:r>
              <w:rPr>
                <w:rFonts w:ascii="Calibri" w:hAnsi="Calibri"/>
                <w:sz w:val="22"/>
              </w:rPr>
              <w:t>Director</w:t>
            </w:r>
          </w:p>
        </w:tc>
        <w:tc>
          <w:tcPr>
            <w:tcW w:type="dxa" w:w="1440"/>
          </w:tcPr>
          <w:p>
            <w:r>
              <w:rPr>
                <w:rFonts w:ascii="Calibri" w:hAnsi="Calibri"/>
                <w:sz w:val="22"/>
              </w:rPr>
              <w:t>Apr 20, 2026</w:t>
            </w:r>
          </w:p>
        </w:tc>
        <w:tc>
          <w:tcPr>
            <w:tcW w:type="dxa" w:w="1440"/>
          </w:tcPr>
          <w:p>
            <w:r>
              <w:rPr>
                <w:rFonts w:ascii="Calibri" w:hAnsi="Calibri"/>
                <w:sz w:val="22"/>
              </w:rPr>
              <w:t>RSU Vest (M)</w:t>
            </w:r>
          </w:p>
        </w:tc>
        <w:tc>
          <w:tcPr>
            <w:tcW w:type="dxa" w:w="1440"/>
          </w:tcPr>
          <w:p>
            <w:r>
              <w:rPr>
                <w:rFonts w:ascii="Calibri" w:hAnsi="Calibri"/>
                <w:sz w:val="22"/>
              </w:rPr>
              <w:t>139 vested</w:t>
            </w:r>
          </w:p>
        </w:tc>
        <w:tc>
          <w:tcPr>
            <w:tcW w:type="dxa" w:w="1440"/>
          </w:tcPr>
          <w:p>
            <w:r>
              <w:rPr>
                <w:rFonts w:ascii="Calibri" w:hAnsi="Calibri"/>
                <w:sz w:val="22"/>
              </w:rPr>
              <w:t>Routine RSU vesting</w:t>
            </w:r>
          </w:p>
        </w:tc>
      </w:tr>
    </w:tbl>
    <w:p>
      <w:r>
        <w:rPr>
          <w:rFonts w:ascii="Calibri" w:hAnsi="Calibri"/>
          <w:i/>
          <w:color w:val="525866"/>
          <w:sz w:val="22"/>
        </w:rPr>
        <w:t>Source: Insider Transaction Data (SEC Form 4 filings).</w:t>
      </w:r>
    </w:p>
    <w:p>
      <w:r>
        <w:rPr>
          <w:rFonts w:ascii="Calibri" w:hAnsi="Calibri"/>
          <w:b/>
          <w:color w:val="525866"/>
          <w:sz w:val="22"/>
        </w:rPr>
        <w:t xml:space="preserve">Interpretation: </w:t>
      </w:r>
      <w:r>
        <w:rPr>
          <w:rFonts w:ascii="Calibri" w:hAnsi="Calibri"/>
          <w:color w:val="525866"/>
          <w:sz w:val="22"/>
        </w:rPr>
        <w:t>All transactions are routine RSU vesting events tied to the company’s annual equity compensation cycle, filed on April 22, 2026 (the day after Q2 earnings). Transaction codes: M = RSU conversion to common stock; F = shares withheld for tax; A = new equity award. No insider has made a discretionary open-market purchase or sale since Q2 earnings. The CEO (Romanowski) and COO (Murray) both received new equity awards (A transactions) on April 22, which are 10b5-1 plan awards — these are pre-scheduled and carry no informational signal about near-term expectations. The absence of any open-market selling by insiders at current price levels (~$149) is a mild positive, as insiders are not taking advantage of any near-term price strength to reduce exposure.</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