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D.R. Horton, Inc. (DHI)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D.R. Horton, Inc.</w:t>
            </w:r>
          </w:p>
        </w:tc>
      </w:tr>
      <w:tr>
        <w:tc>
          <w:tcPr>
            <w:tcW w:type="dxa" w:w="4320"/>
          </w:tcPr>
          <w:p>
            <w:r>
              <w:rPr>
                <w:rFonts w:ascii="Calibri" w:hAnsi="Calibri"/>
                <w:b/>
                <w:sz w:val="22"/>
              </w:rPr>
              <w:t>Ticker</w:t>
            </w:r>
          </w:p>
        </w:tc>
        <w:tc>
          <w:tcPr>
            <w:tcW w:type="dxa" w:w="4320"/>
          </w:tcPr>
          <w:p>
            <w:r>
              <w:rPr>
                <w:rFonts w:ascii="Calibri" w:hAnsi="Calibri"/>
                <w:sz w:val="22"/>
              </w:rPr>
              <w:t>DHI (NYSE)</w:t>
            </w:r>
          </w:p>
        </w:tc>
      </w:tr>
      <w:tr>
        <w:tc>
          <w:tcPr>
            <w:tcW w:type="dxa" w:w="4320"/>
          </w:tcPr>
          <w:p>
            <w:r>
              <w:rPr>
                <w:rFonts w:ascii="Calibri" w:hAnsi="Calibri"/>
                <w:b/>
                <w:sz w:val="22"/>
              </w:rPr>
              <w:t>Reporting Period</w:t>
            </w:r>
          </w:p>
        </w:tc>
        <w:tc>
          <w:tcPr>
            <w:tcW w:type="dxa" w:w="4320"/>
          </w:tcPr>
          <w:p>
            <w:r>
              <w:rPr>
                <w:rFonts w:ascii="Calibri" w:hAnsi="Calibri"/>
                <w:sz w:val="22"/>
              </w:rPr>
              <w:t>Fiscal Q3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21, 2026 (pre-market)</w:t>
            </w:r>
          </w:p>
        </w:tc>
      </w:tr>
      <w:tr>
        <w:tc>
          <w:tcPr>
            <w:tcW w:type="dxa" w:w="4320"/>
          </w:tcPr>
          <w:p>
            <w:r>
              <w:rPr>
                <w:rFonts w:ascii="Calibri" w:hAnsi="Calibri"/>
                <w:b/>
                <w:sz w:val="22"/>
              </w:rPr>
              <w:t>Prepared</w:t>
            </w:r>
          </w:p>
        </w:tc>
        <w:tc>
          <w:tcPr>
            <w:tcW w:type="dxa" w:w="4320"/>
          </w:tcPr>
          <w:p>
            <w:r>
              <w:rPr>
                <w:rFonts w:ascii="Calibri" w:hAnsi="Calibri"/>
                <w:sz w:val="22"/>
              </w:rPr>
              <w:t>July 20, 2026</w:t>
            </w:r>
          </w:p>
        </w:tc>
      </w:tr>
      <w:tr>
        <w:tc>
          <w:tcPr>
            <w:tcW w:type="dxa" w:w="4320"/>
          </w:tcPr>
          <w:p>
            <w:r>
              <w:rPr>
                <w:rFonts w:ascii="Calibri" w:hAnsi="Calibri"/>
                <w:b/>
                <w:sz w:val="22"/>
              </w:rPr>
              <w:t>Last Earnings</w:t>
            </w:r>
          </w:p>
        </w:tc>
        <w:tc>
          <w:tcPr>
            <w:tcW w:type="dxa" w:w="4320"/>
          </w:tcPr>
          <w:p>
            <w:r>
              <w:rPr>
                <w:rFonts w:ascii="Calibri" w:hAnsi="Calibri"/>
                <w:sz w:val="22"/>
              </w:rPr>
              <w:t>April 21, 2026 (Fiscal Q2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cautiously constructive — consensus is a manageable bar on closings and gross margin, but the single biggest swing factor is whether incentive levels held stable (as guided) or crept higher in the spring selling season, which would pressure the margin line and reset full-year expectations.</w:t>
      </w:r>
    </w:p>
    <w:p>
      <w:r>
        <w:rPr>
          <w:rFonts w:ascii="Calibri" w:hAnsi="Calibri"/>
          <w:color w:val="525866"/>
          <w:sz w:val="22"/>
        </w:rPr>
        <w:t xml:space="preserve">Heading into the fiscal Q3 2026 print, DHI guided for 23,500–24,000 home closings, revenues of $8.8–$9.3 billion, and a home sales gross margin of 19.7%–20.2% — a step-up in volume from Q2 that should drive SG&amp;A leverage and partially offset the ongoing incentive drag. </w:t>
      </w:r>
      <w:r>
        <w:rPr>
          <w:rFonts w:ascii="Calibri" w:hAnsi="Calibri"/>
          <w:color w:val="525866"/>
          <w:sz w:val="22"/>
        </w:rPr>
        <w:t>Consensus sits near the midpoint of guidance on all three metrics, leaving the bar neither heroically high nor obviously beatable without execution.</w:t>
      </w:r>
      <w:r>
        <w:rPr>
          <w:rFonts w:ascii="Calibri" w:hAnsi="Calibri"/>
          <w:color w:val="525866"/>
          <w:sz w:val="22"/>
        </w:rPr>
        <w:t xml:space="preserve"> Management's tone on the April call was measured: demand was described as "good" with sales tracking normal seasonality, cancellation rates stable, and completed unsold inventory at its lowest since fiscal 2023 — all constructive signals heading into the quarter. </w:t>
      </w:r>
      <w:r>
        <w:rPr>
          <w:rFonts w:ascii="Calibri" w:hAnsi="Calibri"/>
          <w:color w:val="525866"/>
          <w:sz w:val="22"/>
        </w:rPr>
        <w:t xml:space="preserve">Estimate revisions have been essentially flat since the Q2 print, with the Q3 operating EPS consensus drifting only marginally from ~$2.99 to ~$2.97, suggesting the Street has largely accepted management's framework rather than building in incremental upside or downside. </w:t>
      </w:r>
      <w:r>
        <w:rPr>
          <w:rFonts w:ascii="Calibri" w:hAnsi="Calibri"/>
          <w:color w:val="525866"/>
          <w:sz w:val="22"/>
        </w:rPr>
        <w:t xml:space="preserve">The stock has underperformed over the past six months (down ~10%), trading at roughly 12.8x NTM P/E — a discount to its 12-month-ago multiple — implying the market is not pricing in a meaningful beat, which creates asymmetric upside if orders and margin both come in at or above the guided range. </w:t>
      </w:r>
      <w:r>
        <w:rPr>
          <w:rFonts w:ascii="Calibri" w:hAnsi="Calibri"/>
          <w:color w:val="525866"/>
          <w:sz w:val="22"/>
        </w:rPr>
        <w:t>The key wildcard is the macro backdrop: Lennar's Q2 call (June 12) flagged a fresh inflation spike (May CPI at 4.2% YoY), mortgage rates stubbornly in the mid-to-upper 6% range, and "measured and deliberate" buyer urgency — conditions that could have weighed on DHI's spring order pace and incentive costs more than management's April guidance assumed.</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aligned with the midpoint of management's own Q3 guidance on closings, revenue, and gross margin. </w:t>
      </w:r>
      <w:r>
        <w:rPr>
          <w:rFonts w:ascii="Calibri" w:hAnsi="Calibri"/>
          <w:b/>
          <w:color w:val="525866"/>
          <w:sz w:val="22"/>
        </w:rPr>
        <w:t>Home sales gross margin is the bigger swing factor</w:t>
      </w:r>
      <w:r>
        <w:rPr>
          <w:rFonts w:ascii="Calibri" w:hAnsi="Calibri"/>
          <w:color w:val="525866"/>
          <w:sz w:val="22"/>
        </w:rPr>
        <w:t>: a 20–25 bps miss versus the 19.7%–20.2% guided range would signal incentive creep and likely reset full-year margin expectations lower.</w:t>
      </w:r>
    </w:p>
    <w:p>
      <w:pPr>
        <w:pStyle w:val="Heading3"/>
      </w:pPr>
      <w:r>
        <w:rPr>
          <w:rFonts w:ascii="Calibri" w:hAnsi="Calibri"/>
          <w:b/>
          <w:color w:val="3B4259"/>
          <w:sz w:val="24"/>
        </w:rPr>
        <w:t>Table 1 — Current Quarter Snapshot (Fiscal Q3 2026,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FY2026)</w:t>
            </w:r>
          </w:p>
        </w:tc>
        <w:tc>
          <w:tcPr>
            <w:tcW w:type="dxa" w:w="1234"/>
            <w:shd w:val="clear" w:color="auto" w:fill="3B4259"/>
          </w:tcPr>
          <w:p>
            <w:r>
              <w:rPr>
                <w:rFonts w:ascii="Calibri" w:hAnsi="Calibri"/>
                <w:b/>
                <w:color w:val="FFFFFF"/>
                <w:sz w:val="22"/>
              </w:rPr>
              <w:t>Prior Year Period (Q3 FY2025)</w:t>
            </w:r>
          </w:p>
        </w:tc>
        <w:tc>
          <w:tcPr>
            <w:tcW w:type="dxa" w:w="1234"/>
            <w:shd w:val="clear" w:color="auto" w:fill="3B4259"/>
          </w:tcPr>
          <w:p>
            <w:r>
              <w:rPr>
                <w:rFonts w:ascii="Calibri" w:hAnsi="Calibri"/>
                <w:b/>
                <w:color w:val="FFFFFF"/>
                <w:sz w:val="22"/>
              </w:rPr>
              <w:t>Consensus Estimate (Q3 FY2026)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(Q3 FY2026)</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$7.558B</w:t>
            </w:r>
          </w:p>
        </w:tc>
        <w:tc>
          <w:tcPr>
            <w:tcW w:type="dxa" w:w="1234"/>
          </w:tcPr>
          <w:p>
            <w:r>
              <w:rPr>
                <w:rFonts w:ascii="Calibri" w:hAnsi="Calibri"/>
                <w:sz w:val="22"/>
              </w:rPr>
              <w:t>$9.226B</w:t>
            </w:r>
          </w:p>
        </w:tc>
        <w:tc>
          <w:tcPr>
            <w:tcW w:type="dxa" w:w="1234"/>
          </w:tcPr>
          <w:p>
            <w:r>
              <w:rPr>
                <w:rFonts w:ascii="Calibri" w:hAnsi="Calibri"/>
                <w:sz w:val="22"/>
              </w:rPr>
              <w:t>$9.187B</w:t>
            </w:r>
          </w:p>
        </w:tc>
        <w:tc>
          <w:tcPr>
            <w:tcW w:type="dxa" w:w="1234"/>
          </w:tcPr>
          <w:p>
            <w:r>
              <w:rPr>
                <w:rFonts w:ascii="Calibri" w:hAnsi="Calibri"/>
                <w:sz w:val="22"/>
              </w:rPr>
              <w:t>−0.4% YoY</w:t>
            </w:r>
          </w:p>
        </w:tc>
        <w:tc>
          <w:tcPr>
            <w:tcW w:type="dxa" w:w="1234"/>
          </w:tcPr>
          <w:p>
            <w:r>
              <w:rPr>
                <w:rFonts w:ascii="Calibri" w:hAnsi="Calibri"/>
                <w:sz w:val="22"/>
              </w:rPr>
              <w:t>$8.8B – $9.3B</w:t>
            </w:r>
          </w:p>
        </w:tc>
        <w:tc>
          <w:tcPr>
            <w:tcW w:type="dxa" w:w="1234"/>
          </w:tcPr>
          <w:p>
            <w:r>
              <w:rPr>
                <w:rFonts w:ascii="Calibri" w:hAnsi="Calibri"/>
                <w:sz w:val="22"/>
              </w:rPr>
              <w:t>−0.1% vs. $9.05B mid</w:t>
            </w:r>
          </w:p>
        </w:tc>
      </w:tr>
      <w:tr>
        <w:tc>
          <w:tcPr>
            <w:tcW w:type="dxa" w:w="1234"/>
          </w:tcPr>
          <w:p>
            <w:r>
              <w:rPr>
                <w:rFonts w:ascii="Calibri" w:hAnsi="Calibri"/>
                <w:sz w:val="22"/>
              </w:rPr>
              <w:t>Homes Delivered (#)</w:t>
            </w:r>
          </w:p>
        </w:tc>
        <w:tc>
          <w:tcPr>
            <w:tcW w:type="dxa" w:w="1234"/>
          </w:tcPr>
          <w:p>
            <w:r>
              <w:rPr>
                <w:rFonts w:ascii="Calibri" w:hAnsi="Calibri"/>
                <w:sz w:val="22"/>
              </w:rPr>
              <w:t>19,486</w:t>
            </w:r>
          </w:p>
        </w:tc>
        <w:tc>
          <w:tcPr>
            <w:tcW w:type="dxa" w:w="1234"/>
          </w:tcPr>
          <w:p>
            <w:r>
              <w:rPr>
                <w:rFonts w:ascii="Calibri" w:hAnsi="Calibri"/>
                <w:sz w:val="22"/>
              </w:rPr>
              <w:t>23,160</w:t>
            </w:r>
          </w:p>
        </w:tc>
        <w:tc>
          <w:tcPr>
            <w:tcW w:type="dxa" w:w="1234"/>
          </w:tcPr>
          <w:p>
            <w:r>
              <w:rPr>
                <w:rFonts w:ascii="Calibri" w:hAnsi="Calibri"/>
                <w:sz w:val="22"/>
              </w:rPr>
              <w:t>23,777</w:t>
            </w:r>
          </w:p>
        </w:tc>
        <w:tc>
          <w:tcPr>
            <w:tcW w:type="dxa" w:w="1234"/>
          </w:tcPr>
          <w:p>
            <w:r>
              <w:rPr>
                <w:rFonts w:ascii="Calibri" w:hAnsi="Calibri"/>
                <w:sz w:val="22"/>
              </w:rPr>
              <w:t>+2.7% YoY</w:t>
            </w:r>
          </w:p>
        </w:tc>
        <w:tc>
          <w:tcPr>
            <w:tcW w:type="dxa" w:w="1234"/>
          </w:tcPr>
          <w:p>
            <w:r>
              <w:rPr>
                <w:rFonts w:ascii="Calibri" w:hAnsi="Calibri"/>
                <w:sz w:val="22"/>
              </w:rPr>
              <w:t>23,500 – 24,000</w:t>
            </w:r>
          </w:p>
        </w:tc>
        <w:tc>
          <w:tcPr>
            <w:tcW w:type="dxa" w:w="1234"/>
          </w:tcPr>
          <w:p>
            <w:r>
              <w:rPr>
                <w:rFonts w:ascii="Calibri" w:hAnsi="Calibri"/>
                <w:sz w:val="22"/>
              </w:rPr>
              <w:t>+0.3% vs. 23,750 mid</w:t>
            </w:r>
          </w:p>
        </w:tc>
      </w:tr>
      <w:tr>
        <w:tc>
          <w:tcPr>
            <w:tcW w:type="dxa" w:w="1234"/>
          </w:tcPr>
          <w:p>
            <w:r>
              <w:rPr>
                <w:rFonts w:ascii="Calibri" w:hAnsi="Calibri"/>
                <w:sz w:val="22"/>
              </w:rPr>
              <w:t>Home Sales Gross Margin (%)</w:t>
            </w:r>
          </w:p>
        </w:tc>
        <w:tc>
          <w:tcPr>
            <w:tcW w:type="dxa" w:w="1234"/>
          </w:tcPr>
          <w:p>
            <w:r>
              <w:rPr>
                <w:rFonts w:ascii="Calibri" w:hAnsi="Calibri"/>
                <w:sz w:val="22"/>
              </w:rPr>
              <w:t>19.76%</w:t>
            </w:r>
          </w:p>
        </w:tc>
        <w:tc>
          <w:tcPr>
            <w:tcW w:type="dxa" w:w="1234"/>
          </w:tcPr>
          <w:p>
            <w:r>
              <w:rPr>
                <w:rFonts w:ascii="Calibri" w:hAnsi="Calibri"/>
                <w:sz w:val="22"/>
              </w:rPr>
              <w:t>21.21%</w:t>
            </w:r>
          </w:p>
        </w:tc>
        <w:tc>
          <w:tcPr>
            <w:tcW w:type="dxa" w:w="1234"/>
          </w:tcPr>
          <w:p>
            <w:r>
              <w:rPr>
                <w:rFonts w:ascii="Calibri" w:hAnsi="Calibri"/>
                <w:sz w:val="22"/>
              </w:rPr>
              <w:t>19.81%</w:t>
            </w:r>
          </w:p>
        </w:tc>
        <w:tc>
          <w:tcPr>
            <w:tcW w:type="dxa" w:w="1234"/>
          </w:tcPr>
          <w:p>
            <w:r>
              <w:rPr>
                <w:rFonts w:ascii="Calibri" w:hAnsi="Calibri"/>
                <w:sz w:val="22"/>
              </w:rPr>
              <w:t>−140 bps YoY</w:t>
            </w:r>
          </w:p>
        </w:tc>
        <w:tc>
          <w:tcPr>
            <w:tcW w:type="dxa" w:w="1234"/>
          </w:tcPr>
          <w:p>
            <w:r>
              <w:rPr>
                <w:rFonts w:ascii="Calibri" w:hAnsi="Calibri"/>
                <w:sz w:val="22"/>
              </w:rPr>
              <w:t>19.7% – 20.2%</w:t>
            </w:r>
          </w:p>
        </w:tc>
        <w:tc>
          <w:tcPr>
            <w:tcW w:type="dxa" w:w="1234"/>
          </w:tcPr>
          <w:p>
            <w:r>
              <w:rPr>
                <w:rFonts w:ascii="Calibri" w:hAnsi="Calibri"/>
                <w:sz w:val="22"/>
              </w:rPr>
              <w:t>−34 bps vs. 19.95% mid</w:t>
            </w:r>
          </w:p>
        </w:tc>
      </w:tr>
      <w:tr>
        <w:tc>
          <w:tcPr>
            <w:tcW w:type="dxa" w:w="1234"/>
          </w:tcPr>
          <w:p>
            <w:r>
              <w:rPr>
                <w:rFonts w:ascii="Calibri" w:hAnsi="Calibri"/>
                <w:sz w:val="22"/>
              </w:rPr>
              <w:t>Net New Orders (#)</w:t>
            </w:r>
          </w:p>
        </w:tc>
        <w:tc>
          <w:tcPr>
            <w:tcW w:type="dxa" w:w="1234"/>
          </w:tcPr>
          <w:p>
            <w:r>
              <w:rPr>
                <w:rFonts w:ascii="Calibri" w:hAnsi="Calibri"/>
                <w:sz w:val="22"/>
              </w:rPr>
              <w:t>24,992</w:t>
            </w:r>
          </w:p>
        </w:tc>
        <w:tc>
          <w:tcPr>
            <w:tcW w:type="dxa" w:w="1234"/>
          </w:tcPr>
          <w:p>
            <w:r>
              <w:rPr>
                <w:rFonts w:ascii="Calibri" w:hAnsi="Calibri"/>
                <w:sz w:val="22"/>
              </w:rPr>
              <w:t>23,071</w:t>
            </w:r>
          </w:p>
        </w:tc>
        <w:tc>
          <w:tcPr>
            <w:tcW w:type="dxa" w:w="1234"/>
          </w:tcPr>
          <w:p>
            <w:r>
              <w:rPr>
                <w:rFonts w:ascii="Calibri" w:hAnsi="Calibri"/>
                <w:sz w:val="22"/>
              </w:rPr>
              <w:t>24,129</w:t>
            </w:r>
          </w:p>
        </w:tc>
        <w:tc>
          <w:tcPr>
            <w:tcW w:type="dxa" w:w="1234"/>
          </w:tcPr>
          <w:p>
            <w:r>
              <w:rPr>
                <w:rFonts w:ascii="Calibri" w:hAnsi="Calibri"/>
                <w:sz w:val="22"/>
              </w:rPr>
              <w:t>+4.6% YoY</w:t>
            </w:r>
          </w:p>
        </w:tc>
        <w:tc>
          <w:tcPr>
            <w:tcW w:type="dxa" w:w="1234"/>
          </w:tcPr>
          <w:p>
            <w:r>
              <w:rPr>
                <w:rFonts w:ascii="Calibri" w:hAnsi="Calibri"/>
                <w:sz w:val="22"/>
              </w:rPr>
              <w:t>Not guided</w:t>
            </w:r>
          </w:p>
        </w:tc>
        <w:tc>
          <w:tcPr>
            <w:tcW w:type="dxa" w:w="1234"/>
          </w:tcPr>
          <w:p>
            <w:r>
              <w:rPr>
                <w:rFonts w:ascii="Calibri" w:hAnsi="Calibri"/>
                <w:sz w:val="22"/>
              </w:rPr>
              <w:t>N/A</w:t>
            </w:r>
          </w:p>
        </w:tc>
      </w:tr>
      <w:tr>
        <w:tc>
          <w:tcPr>
            <w:tcW w:type="dxa" w:w="1234"/>
          </w:tcPr>
          <w:p>
            <w:r>
              <w:rPr>
                <w:rFonts w:ascii="Calibri" w:hAnsi="Calibri"/>
                <w:sz w:val="22"/>
              </w:rPr>
              <w:t>Home Sales ASP ($K)</w:t>
            </w:r>
          </w:p>
        </w:tc>
        <w:tc>
          <w:tcPr>
            <w:tcW w:type="dxa" w:w="1234"/>
          </w:tcPr>
          <w:p>
            <w:r>
              <w:rPr>
                <w:rFonts w:ascii="Calibri" w:hAnsi="Calibri"/>
                <w:sz w:val="22"/>
              </w:rPr>
              <w:t>$361.6K</w:t>
            </w:r>
          </w:p>
        </w:tc>
        <w:tc>
          <w:tcPr>
            <w:tcW w:type="dxa" w:w="1234"/>
          </w:tcPr>
          <w:p>
            <w:r>
              <w:rPr>
                <w:rFonts w:ascii="Calibri" w:hAnsi="Calibri"/>
                <w:sz w:val="22"/>
              </w:rPr>
              <w:t>$369.6K</w:t>
            </w:r>
          </w:p>
        </w:tc>
        <w:tc>
          <w:tcPr>
            <w:tcW w:type="dxa" w:w="1234"/>
          </w:tcPr>
          <w:p>
            <w:r>
              <w:rPr>
                <w:rFonts w:ascii="Calibri" w:hAnsi="Calibri"/>
                <w:sz w:val="22"/>
              </w:rPr>
              <w:t>$361.3K</w:t>
            </w:r>
          </w:p>
        </w:tc>
        <w:tc>
          <w:tcPr>
            <w:tcW w:type="dxa" w:w="1234"/>
          </w:tcPr>
          <w:p>
            <w:r>
              <w:rPr>
                <w:rFonts w:ascii="Calibri" w:hAnsi="Calibri"/>
                <w:sz w:val="22"/>
              </w:rPr>
              <w:t>−2.2% YoY</w:t>
            </w:r>
          </w:p>
        </w:tc>
        <w:tc>
          <w:tcPr>
            <w:tcW w:type="dxa" w:w="1234"/>
          </w:tcPr>
          <w:p>
            <w:r>
              <w:rPr>
                <w:rFonts w:ascii="Calibri" w:hAnsi="Calibri"/>
                <w:sz w:val="22"/>
              </w:rPr>
              <w:t>Not guided (flat assumed)</w:t>
            </w:r>
          </w:p>
        </w:tc>
        <w:tc>
          <w:tcPr>
            <w:tcW w:type="dxa" w:w="1234"/>
          </w:tcPr>
          <w:p>
            <w:r>
              <w:rPr>
                <w:rFonts w:ascii="Calibri" w:hAnsi="Calibri"/>
                <w:sz w:val="22"/>
              </w:rPr>
              <w:t>N/A</w:t>
            </w:r>
          </w:p>
        </w:tc>
      </w:tr>
      <w:tr>
        <w:tc>
          <w:tcPr>
            <w:tcW w:type="dxa" w:w="1234"/>
          </w:tcPr>
          <w:p>
            <w:r>
              <w:rPr>
                <w:rFonts w:ascii="Calibri" w:hAnsi="Calibri"/>
                <w:sz w:val="22"/>
              </w:rPr>
              <w:t>Community Count (#)</w:t>
            </w:r>
          </w:p>
        </w:tc>
        <w:tc>
          <w:tcPr>
            <w:tcW w:type="dxa" w:w="1234"/>
          </w:tcPr>
          <w:p>
            <w:r>
              <w:rPr>
                <w:rFonts w:ascii="Calibri" w:hAnsi="Calibri"/>
                <w:sz w:val="22"/>
              </w:rPr>
              <w:t>2,091</w:t>
            </w:r>
          </w:p>
        </w:tc>
        <w:tc>
          <w:tcPr>
            <w:tcW w:type="dxa" w:w="1234"/>
          </w:tcPr>
          <w:p>
            <w:r>
              <w:rPr>
                <w:rFonts w:ascii="Calibri" w:hAnsi="Calibri"/>
                <w:sz w:val="22"/>
              </w:rPr>
              <w:t>1,937</w:t>
            </w:r>
          </w:p>
        </w:tc>
        <w:tc>
          <w:tcPr>
            <w:tcW w:type="dxa" w:w="1234"/>
          </w:tcPr>
          <w:p>
            <w:r>
              <w:rPr>
                <w:rFonts w:ascii="Calibri" w:hAnsi="Calibri"/>
                <w:sz w:val="22"/>
              </w:rPr>
              <w:t>2,131</w:t>
            </w:r>
          </w:p>
        </w:tc>
        <w:tc>
          <w:tcPr>
            <w:tcW w:type="dxa" w:w="1234"/>
          </w:tcPr>
          <w:p>
            <w:r>
              <w:rPr>
                <w:rFonts w:ascii="Calibri" w:hAnsi="Calibri"/>
                <w:sz w:val="22"/>
              </w:rPr>
              <w:t>+10.0% YoY</w:t>
            </w:r>
          </w:p>
        </w:tc>
        <w:tc>
          <w:tcPr>
            <w:tcW w:type="dxa" w:w="1234"/>
          </w:tcPr>
          <w:p>
            <w:r>
              <w:rPr>
                <w:rFonts w:ascii="Calibri" w:hAnsi="Calibri"/>
                <w:sz w:val="22"/>
              </w:rPr>
              <w:t>Not guided</w:t>
            </w:r>
          </w:p>
        </w:tc>
        <w:tc>
          <w:tcPr>
            <w:tcW w:type="dxa" w:w="1234"/>
          </w:tcPr>
          <w:p>
            <w:r>
              <w:rPr>
                <w:rFonts w:ascii="Calibri" w:hAnsi="Calibri"/>
                <w:sz w:val="22"/>
              </w:rPr>
              <w:t>N/A</w:t>
            </w:r>
          </w:p>
        </w:tc>
      </w:tr>
      <w:tr>
        <w:tc>
          <w:tcPr>
            <w:tcW w:type="dxa" w:w="1234"/>
          </w:tcPr>
          <w:p>
            <w:r>
              <w:rPr>
                <w:rFonts w:ascii="Calibri" w:hAnsi="Calibri"/>
                <w:sz w:val="22"/>
              </w:rPr>
              <w:t>Diluted EPS — Operating ($)</w:t>
            </w:r>
          </w:p>
        </w:tc>
        <w:tc>
          <w:tcPr>
            <w:tcW w:type="dxa" w:w="1234"/>
          </w:tcPr>
          <w:p>
            <w:r>
              <w:rPr>
                <w:rFonts w:ascii="Calibri" w:hAnsi="Calibri"/>
                <w:sz w:val="22"/>
              </w:rPr>
              <w:t>$2.24</w:t>
            </w:r>
          </w:p>
        </w:tc>
        <w:tc>
          <w:tcPr>
            <w:tcW w:type="dxa" w:w="1234"/>
          </w:tcPr>
          <w:p>
            <w:r>
              <w:rPr>
                <w:rFonts w:ascii="Calibri" w:hAnsi="Calibri"/>
                <w:sz w:val="22"/>
              </w:rPr>
              <w:t>$3.36</w:t>
            </w:r>
          </w:p>
        </w:tc>
        <w:tc>
          <w:tcPr>
            <w:tcW w:type="dxa" w:w="1234"/>
          </w:tcPr>
          <w:p>
            <w:r>
              <w:rPr>
                <w:rFonts w:ascii="Calibri" w:hAnsi="Calibri"/>
                <w:sz w:val="22"/>
              </w:rPr>
              <w:t>$2.98</w:t>
            </w:r>
          </w:p>
        </w:tc>
        <w:tc>
          <w:tcPr>
            <w:tcW w:type="dxa" w:w="1234"/>
          </w:tcPr>
          <w:p>
            <w:r>
              <w:rPr>
                <w:rFonts w:ascii="Calibri" w:hAnsi="Calibri"/>
                <w:sz w:val="22"/>
              </w:rPr>
              <w:t>−11.3% YoY</w:t>
            </w:r>
          </w:p>
        </w:tc>
        <w:tc>
          <w:tcPr>
            <w:tcW w:type="dxa" w:w="1234"/>
          </w:tcPr>
          <w:p>
            <w:r>
              <w:rPr>
                <w:rFonts w:ascii="Calibri" w:hAnsi="Calibri"/>
                <w:sz w:val="22"/>
              </w:rPr>
              <w:t>Implied by pretax margin guide of 12.2%–12.7%</w:t>
            </w:r>
          </w:p>
        </w:tc>
        <w:tc>
          <w:tcPr>
            <w:tcW w:type="dxa" w:w="1234"/>
          </w:tcPr>
          <w:p>
            <w:r>
              <w:rPr>
                <w:rFonts w:ascii="Calibri" w:hAnsi="Calibri"/>
                <w:sz w:val="22"/>
              </w:rPr>
              <w:t>Within guided range</w:t>
            </w:r>
          </w:p>
        </w:tc>
      </w:tr>
    </w:tbl>
    <w:p>
      <w:r>
        <w:rPr>
          <w:rFonts w:ascii="Calibri" w:hAnsi="Calibri"/>
          <w:i/>
          <w:color w:val="525866"/>
          <w:sz w:val="22"/>
        </w:rPr>
        <w:t>Source: Visible Alpha Consensus and Actuals Data</w:t>
      </w:r>
      <w:r>
        <w:rPr>
          <w:rFonts w:ascii="Calibri" w:hAnsi="Calibri"/>
          <w:i/>
          <w:color w:val="525866"/>
          <w:sz w:val="22"/>
        </w:rPr>
        <w:t xml:space="preserve"> | All actuals and consensus estimates sourced from Visible Alpha. Q3 FY2026 guidance from DHI Q2 FY2026 earnings call (April 21, 2026). YoY changes computed from VA actuals.</w:t>
      </w:r>
    </w:p>
    <w:p>
      <w:pPr>
        <w:pStyle w:val="Heading3"/>
      </w:pPr>
      <w:r>
        <w:rPr>
          <w:rFonts w:ascii="Calibri" w:hAnsi="Calibri"/>
          <w:b/>
          <w:color w:val="3B4259"/>
          <w:sz w:val="24"/>
        </w:rPr>
        <w:t>Table 2 — Beat / Miss History (Last 8 Quarters, Top 2 KPIs)</w:t>
      </w:r>
    </w:p>
    <w:p>
      <w:r>
        <w:rPr>
          <w:rFonts w:ascii="Calibri" w:hAnsi="Calibri"/>
          <w:b/>
          <w:color w:val="525866"/>
          <w:sz w:val="22"/>
        </w:rPr>
        <w:t>KPI 1: Home Sales Gross Margin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 (Jun-24)</w:t>
            </w:r>
          </w:p>
        </w:tc>
        <w:tc>
          <w:tcPr>
            <w:tcW w:type="dxa" w:w="1728"/>
          </w:tcPr>
          <w:p>
            <w:r>
              <w:rPr>
                <w:rFonts w:ascii="Calibri" w:hAnsi="Calibri"/>
                <w:sz w:val="22"/>
              </w:rPr>
              <w:t>24.00%</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FY2024 (Sep-24)</w:t>
            </w:r>
          </w:p>
        </w:tc>
        <w:tc>
          <w:tcPr>
            <w:tcW w:type="dxa" w:w="1728"/>
          </w:tcPr>
          <w:p>
            <w:r>
              <w:rPr>
                <w:rFonts w:ascii="Calibri" w:hAnsi="Calibri"/>
                <w:sz w:val="22"/>
              </w:rPr>
              <w:t>23.17%</w:t>
            </w:r>
          </w:p>
        </w:tc>
        <w:tc>
          <w:tcPr>
            <w:tcW w:type="dxa" w:w="1728"/>
          </w:tcPr>
          <w:p>
            <w:r>
              <w:rPr>
                <w:rFonts w:ascii="Calibri" w:hAnsi="Calibri"/>
                <w:sz w:val="22"/>
              </w:rPr>
              <w:t>24.19%</w:t>
            </w:r>
          </w:p>
        </w:tc>
        <w:tc>
          <w:tcPr>
            <w:tcW w:type="dxa" w:w="1728"/>
          </w:tcPr>
          <w:p>
            <w:r>
              <w:rPr>
                <w:rFonts w:ascii="Calibri" w:hAnsi="Calibri"/>
                <w:sz w:val="22"/>
              </w:rPr>
              <w:t>−102 bps</w:t>
            </w:r>
          </w:p>
        </w:tc>
        <w:tc>
          <w:tcPr>
            <w:tcW w:type="dxa" w:w="1728"/>
          </w:tcPr>
          <w:p>
            <w:r>
              <w:rPr>
                <w:rFonts w:ascii="Calibri" w:hAnsi="Calibri"/>
                <w:b/>
                <w:color w:val="E5484D"/>
                <w:sz w:val="22"/>
              </w:rPr>
              <w:t>Miss</w:t>
            </w:r>
          </w:p>
        </w:tc>
      </w:tr>
      <w:tr>
        <w:tc>
          <w:tcPr>
            <w:tcW w:type="dxa" w:w="1728"/>
          </w:tcPr>
          <w:p>
            <w:r>
              <w:rPr>
                <w:rFonts w:ascii="Calibri" w:hAnsi="Calibri"/>
                <w:sz w:val="22"/>
              </w:rPr>
              <w:t>Q1 FY2025 (Dec-24)</w:t>
            </w:r>
          </w:p>
        </w:tc>
        <w:tc>
          <w:tcPr>
            <w:tcW w:type="dxa" w:w="1728"/>
          </w:tcPr>
          <w:p>
            <w:r>
              <w:rPr>
                <w:rFonts w:ascii="Calibri" w:hAnsi="Calibri"/>
                <w:sz w:val="22"/>
              </w:rPr>
              <w:t>22.60%</w:t>
            </w:r>
          </w:p>
        </w:tc>
        <w:tc>
          <w:tcPr>
            <w:tcW w:type="dxa" w:w="1728"/>
          </w:tcPr>
          <w:p>
            <w:r>
              <w:rPr>
                <w:rFonts w:ascii="Calibri" w:hAnsi="Calibri"/>
                <w:sz w:val="22"/>
              </w:rPr>
              <w:t>22.57%</w:t>
            </w:r>
          </w:p>
        </w:tc>
        <w:tc>
          <w:tcPr>
            <w:tcW w:type="dxa" w:w="1728"/>
          </w:tcPr>
          <w:p>
            <w:r>
              <w:rPr>
                <w:rFonts w:ascii="Calibri" w:hAnsi="Calibri"/>
                <w:sz w:val="22"/>
              </w:rPr>
              <w:t>+3 bps</w:t>
            </w:r>
          </w:p>
        </w:tc>
        <w:tc>
          <w:tcPr>
            <w:tcW w:type="dxa" w:w="1728"/>
          </w:tcPr>
          <w:p>
            <w:r>
              <w:rPr>
                <w:rFonts w:ascii="Calibri" w:hAnsi="Calibri"/>
                <w:b/>
                <w:sz w:val="22"/>
              </w:rPr>
              <w:t>In-Line</w:t>
            </w:r>
          </w:p>
        </w:tc>
      </w:tr>
      <w:tr>
        <w:tc>
          <w:tcPr>
            <w:tcW w:type="dxa" w:w="1728"/>
          </w:tcPr>
          <w:p>
            <w:r>
              <w:rPr>
                <w:rFonts w:ascii="Calibri" w:hAnsi="Calibri"/>
                <w:sz w:val="22"/>
              </w:rPr>
              <w:t>Q2 FY2025 (Mar-25)</w:t>
            </w:r>
          </w:p>
        </w:tc>
        <w:tc>
          <w:tcPr>
            <w:tcW w:type="dxa" w:w="1728"/>
          </w:tcPr>
          <w:p>
            <w:r>
              <w:rPr>
                <w:rFonts w:ascii="Calibri" w:hAnsi="Calibri"/>
                <w:sz w:val="22"/>
              </w:rPr>
              <w:t>21.60%</w:t>
            </w:r>
          </w:p>
        </w:tc>
        <w:tc>
          <w:tcPr>
            <w:tcW w:type="dxa" w:w="1728"/>
          </w:tcPr>
          <w:p>
            <w:r>
              <w:rPr>
                <w:rFonts w:ascii="Calibri" w:hAnsi="Calibri"/>
                <w:sz w:val="22"/>
              </w:rPr>
              <w:t>21.81%</w:t>
            </w:r>
          </w:p>
        </w:tc>
        <w:tc>
          <w:tcPr>
            <w:tcW w:type="dxa" w:w="1728"/>
          </w:tcPr>
          <w:p>
            <w:r>
              <w:rPr>
                <w:rFonts w:ascii="Calibri" w:hAnsi="Calibri"/>
                <w:sz w:val="22"/>
              </w:rPr>
              <w:t>−21 bps</w:t>
            </w:r>
          </w:p>
        </w:tc>
        <w:tc>
          <w:tcPr>
            <w:tcW w:type="dxa" w:w="1728"/>
          </w:tcPr>
          <w:p>
            <w:r>
              <w:rPr>
                <w:rFonts w:ascii="Calibri" w:hAnsi="Calibri"/>
                <w:b/>
                <w:color w:val="E5484D"/>
                <w:sz w:val="22"/>
              </w:rPr>
              <w:t>Miss</w:t>
            </w:r>
          </w:p>
        </w:tc>
      </w:tr>
      <w:tr>
        <w:tc>
          <w:tcPr>
            <w:tcW w:type="dxa" w:w="1728"/>
          </w:tcPr>
          <w:p>
            <w:r>
              <w:rPr>
                <w:rFonts w:ascii="Calibri" w:hAnsi="Calibri"/>
                <w:sz w:val="22"/>
              </w:rPr>
              <w:t>Q3 FY2025 (Jun-25)</w:t>
            </w:r>
          </w:p>
        </w:tc>
        <w:tc>
          <w:tcPr>
            <w:tcW w:type="dxa" w:w="1728"/>
          </w:tcPr>
          <w:p>
            <w:r>
              <w:rPr>
                <w:rFonts w:ascii="Calibri" w:hAnsi="Calibri"/>
                <w:sz w:val="22"/>
              </w:rPr>
              <w:t>21.21%</w:t>
            </w:r>
          </w:p>
        </w:tc>
        <w:tc>
          <w:tcPr>
            <w:tcW w:type="dxa" w:w="1728"/>
          </w:tcPr>
          <w:p>
            <w:r>
              <w:rPr>
                <w:rFonts w:ascii="Calibri" w:hAnsi="Calibri"/>
                <w:sz w:val="22"/>
              </w:rPr>
              <w:t>21.38%</w:t>
            </w:r>
          </w:p>
        </w:tc>
        <w:tc>
          <w:tcPr>
            <w:tcW w:type="dxa" w:w="1728"/>
          </w:tcPr>
          <w:p>
            <w:r>
              <w:rPr>
                <w:rFonts w:ascii="Calibri" w:hAnsi="Calibri"/>
                <w:sz w:val="22"/>
              </w:rPr>
              <w:t>−17 bps</w:t>
            </w:r>
          </w:p>
        </w:tc>
        <w:tc>
          <w:tcPr>
            <w:tcW w:type="dxa" w:w="1728"/>
          </w:tcPr>
          <w:p>
            <w:r>
              <w:rPr>
                <w:rFonts w:ascii="Calibri" w:hAnsi="Calibri"/>
                <w:b/>
                <w:color w:val="E5484D"/>
                <w:sz w:val="22"/>
              </w:rPr>
              <w:t>Miss</w:t>
            </w:r>
          </w:p>
        </w:tc>
      </w:tr>
      <w:tr>
        <w:tc>
          <w:tcPr>
            <w:tcW w:type="dxa" w:w="1728"/>
          </w:tcPr>
          <w:p>
            <w:r>
              <w:rPr>
                <w:rFonts w:ascii="Calibri" w:hAnsi="Calibri"/>
                <w:sz w:val="22"/>
              </w:rPr>
              <w:t>Q4 FY2025 (Sep-25)</w:t>
            </w:r>
          </w:p>
        </w:tc>
        <w:tc>
          <w:tcPr>
            <w:tcW w:type="dxa" w:w="1728"/>
          </w:tcPr>
          <w:p>
            <w:r>
              <w:rPr>
                <w:rFonts w:ascii="Calibri" w:hAnsi="Calibri"/>
                <w:sz w:val="22"/>
              </w:rPr>
              <w:t>19.39%</w:t>
            </w:r>
          </w:p>
        </w:tc>
        <w:tc>
          <w:tcPr>
            <w:tcW w:type="dxa" w:w="1728"/>
          </w:tcPr>
          <w:p>
            <w:r>
              <w:rPr>
                <w:rFonts w:ascii="Calibri" w:hAnsi="Calibri"/>
                <w:sz w:val="22"/>
              </w:rPr>
              <w:t>21.31%</w:t>
            </w:r>
          </w:p>
        </w:tc>
        <w:tc>
          <w:tcPr>
            <w:tcW w:type="dxa" w:w="1728"/>
          </w:tcPr>
          <w:p>
            <w:r>
              <w:rPr>
                <w:rFonts w:ascii="Calibri" w:hAnsi="Calibri"/>
                <w:sz w:val="22"/>
              </w:rPr>
              <w:t>−192 bps</w:t>
            </w:r>
          </w:p>
        </w:tc>
        <w:tc>
          <w:tcPr>
            <w:tcW w:type="dxa" w:w="1728"/>
          </w:tcPr>
          <w:p>
            <w:r>
              <w:rPr>
                <w:rFonts w:ascii="Calibri" w:hAnsi="Calibri"/>
                <w:b/>
                <w:color w:val="E5484D"/>
                <w:sz w:val="22"/>
              </w:rPr>
              <w:t>Miss</w:t>
            </w:r>
          </w:p>
        </w:tc>
      </w:tr>
      <w:tr>
        <w:tc>
          <w:tcPr>
            <w:tcW w:type="dxa" w:w="1728"/>
          </w:tcPr>
          <w:p>
            <w:r>
              <w:rPr>
                <w:rFonts w:ascii="Calibri" w:hAnsi="Calibri"/>
                <w:sz w:val="22"/>
              </w:rPr>
              <w:t>Q1 FY2026 (Dec-25)</w:t>
            </w:r>
          </w:p>
        </w:tc>
        <w:tc>
          <w:tcPr>
            <w:tcW w:type="dxa" w:w="1728"/>
          </w:tcPr>
          <w:p>
            <w:r>
              <w:rPr>
                <w:rFonts w:ascii="Calibri" w:hAnsi="Calibri"/>
                <w:sz w:val="22"/>
              </w:rPr>
              <w:t>20.27%</w:t>
            </w:r>
          </w:p>
        </w:tc>
        <w:tc>
          <w:tcPr>
            <w:tcW w:type="dxa" w:w="1728"/>
          </w:tcPr>
          <w:p>
            <w:r>
              <w:rPr>
                <w:rFonts w:ascii="Calibri" w:hAnsi="Calibri"/>
                <w:sz w:val="22"/>
              </w:rPr>
              <w:t>20.07%</w:t>
            </w:r>
          </w:p>
        </w:tc>
        <w:tc>
          <w:tcPr>
            <w:tcW w:type="dxa" w:w="1728"/>
          </w:tcPr>
          <w:p>
            <w:r>
              <w:rPr>
                <w:rFonts w:ascii="Calibri" w:hAnsi="Calibri"/>
                <w:sz w:val="22"/>
              </w:rPr>
              <w:t>+20 bps</w:t>
            </w:r>
          </w:p>
        </w:tc>
        <w:tc>
          <w:tcPr>
            <w:tcW w:type="dxa" w:w="1728"/>
          </w:tcPr>
          <w:p>
            <w:r>
              <w:rPr>
                <w:rFonts w:ascii="Calibri" w:hAnsi="Calibri"/>
                <w:b/>
                <w:color w:val="30A46C"/>
                <w:sz w:val="22"/>
              </w:rPr>
              <w:t>Beat</w:t>
            </w:r>
          </w:p>
        </w:tc>
      </w:tr>
      <w:tr>
        <w:tc>
          <w:tcPr>
            <w:tcW w:type="dxa" w:w="1728"/>
          </w:tcPr>
          <w:p>
            <w:r>
              <w:rPr>
                <w:rFonts w:ascii="Calibri" w:hAnsi="Calibri"/>
                <w:sz w:val="22"/>
              </w:rPr>
              <w:t>Q2 FY2026 (Mar-26)</w:t>
            </w:r>
          </w:p>
        </w:tc>
        <w:tc>
          <w:tcPr>
            <w:tcW w:type="dxa" w:w="1728"/>
          </w:tcPr>
          <w:p>
            <w:r>
              <w:rPr>
                <w:rFonts w:ascii="Calibri" w:hAnsi="Calibri"/>
                <w:sz w:val="22"/>
              </w:rPr>
              <w:t>19.76%</w:t>
            </w:r>
          </w:p>
        </w:tc>
        <w:tc>
          <w:tcPr>
            <w:tcW w:type="dxa" w:w="1728"/>
          </w:tcPr>
          <w:p>
            <w:r>
              <w:rPr>
                <w:rFonts w:ascii="Calibri" w:hAnsi="Calibri"/>
                <w:sz w:val="22"/>
              </w:rPr>
              <w:t>19.26%</w:t>
            </w:r>
          </w:p>
        </w:tc>
        <w:tc>
          <w:tcPr>
            <w:tcW w:type="dxa" w:w="1728"/>
          </w:tcPr>
          <w:p>
            <w:r>
              <w:rPr>
                <w:rFonts w:ascii="Calibri" w:hAnsi="Calibri"/>
                <w:sz w:val="22"/>
              </w:rPr>
              <w:t>+50 bps</w:t>
            </w:r>
          </w:p>
        </w:tc>
        <w:tc>
          <w:tcPr>
            <w:tcW w:type="dxa" w:w="1728"/>
          </w:tcPr>
          <w:p>
            <w:r>
              <w:rPr>
                <w:rFonts w:ascii="Calibri" w:hAnsi="Calibri"/>
                <w:b/>
                <w:color w:val="30A46C"/>
                <w:sz w:val="22"/>
              </w:rPr>
              <w:t>Beat</w:t>
            </w:r>
          </w:p>
        </w:tc>
      </w:tr>
    </w:tbl>
    <w:p>
      <w:r>
        <w:rPr>
          <w:rFonts w:ascii="Calibri" w:hAnsi="Calibri"/>
          <w:i/>
          <w:color w:val="525866"/>
          <w:sz w:val="22"/>
        </w:rPr>
        <w:t>Source: Visible Alpha Consensus and Actuals Data.</w:t>
      </w:r>
    </w:p>
    <w:p>
      <w:r>
        <w:rPr>
          <w:rFonts w:ascii="Calibri" w:hAnsi="Calibri"/>
          <w:b/>
          <w:color w:val="525866"/>
          <w:sz w:val="22"/>
        </w:rPr>
        <w:t>KPI 2: Net New Orders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 (Jun-24)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Q4 FY2024 (Sep-24)</w:t>
            </w:r>
          </w:p>
        </w:tc>
        <w:tc>
          <w:tcPr>
            <w:tcW w:type="dxa" w:w="1728"/>
          </w:tcPr>
          <w:p>
            <w:r>
              <w:rPr>
                <w:rFonts w:ascii="Calibri" w:hAnsi="Calibri"/>
                <w:sz w:val="22"/>
              </w:rPr>
              <w:t>19,035</w:t>
            </w:r>
          </w:p>
        </w:tc>
        <w:tc>
          <w:tcPr>
            <w:tcW w:type="dxa" w:w="1728"/>
          </w:tcPr>
          <w:p>
            <w:r>
              <w:rPr>
                <w:rFonts w:ascii="Calibri" w:hAnsi="Calibri"/>
                <w:sz w:val="22"/>
              </w:rPr>
              <w:t>19,995</w:t>
            </w:r>
          </w:p>
        </w:tc>
        <w:tc>
          <w:tcPr>
            <w:tcW w:type="dxa" w:w="1728"/>
          </w:tcPr>
          <w:p>
            <w:r>
              <w:rPr>
                <w:rFonts w:ascii="Calibri" w:hAnsi="Calibri"/>
                <w:sz w:val="22"/>
              </w:rPr>
              <w:t>−4.8%</w:t>
            </w:r>
          </w:p>
        </w:tc>
        <w:tc>
          <w:tcPr>
            <w:tcW w:type="dxa" w:w="1728"/>
          </w:tcPr>
          <w:p>
            <w:r>
              <w:rPr>
                <w:rFonts w:ascii="Calibri" w:hAnsi="Calibri"/>
                <w:b/>
                <w:color w:val="E5484D"/>
                <w:sz w:val="22"/>
              </w:rPr>
              <w:t>Miss</w:t>
            </w:r>
          </w:p>
        </w:tc>
      </w:tr>
      <w:tr>
        <w:tc>
          <w:tcPr>
            <w:tcW w:type="dxa" w:w="1728"/>
          </w:tcPr>
          <w:p>
            <w:r>
              <w:rPr>
                <w:rFonts w:ascii="Calibri" w:hAnsi="Calibri"/>
                <w:sz w:val="22"/>
              </w:rPr>
              <w:t>Q1 FY2025 (Dec-24)</w:t>
            </w:r>
          </w:p>
        </w:tc>
        <w:tc>
          <w:tcPr>
            <w:tcW w:type="dxa" w:w="1728"/>
          </w:tcPr>
          <w:p>
            <w:r>
              <w:rPr>
                <w:rFonts w:ascii="Calibri" w:hAnsi="Calibri"/>
                <w:sz w:val="22"/>
              </w:rPr>
              <w:t>17,837</w:t>
            </w:r>
          </w:p>
        </w:tc>
        <w:tc>
          <w:tcPr>
            <w:tcW w:type="dxa" w:w="1728"/>
          </w:tcPr>
          <w:p>
            <w:r>
              <w:rPr>
                <w:rFonts w:ascii="Calibri" w:hAnsi="Calibri"/>
                <w:sz w:val="22"/>
              </w:rPr>
              <w:t>18,548</w:t>
            </w:r>
          </w:p>
        </w:tc>
        <w:tc>
          <w:tcPr>
            <w:tcW w:type="dxa" w:w="1728"/>
          </w:tcPr>
          <w:p>
            <w:r>
              <w:rPr>
                <w:rFonts w:ascii="Calibri" w:hAnsi="Calibri"/>
                <w:sz w:val="22"/>
              </w:rPr>
              <w:t>−3.8%</w:t>
            </w:r>
          </w:p>
        </w:tc>
        <w:tc>
          <w:tcPr>
            <w:tcW w:type="dxa" w:w="1728"/>
          </w:tcPr>
          <w:p>
            <w:r>
              <w:rPr>
                <w:rFonts w:ascii="Calibri" w:hAnsi="Calibri"/>
                <w:b/>
                <w:color w:val="E5484D"/>
                <w:sz w:val="22"/>
              </w:rPr>
              <w:t>Miss</w:t>
            </w:r>
          </w:p>
        </w:tc>
      </w:tr>
      <w:tr>
        <w:tc>
          <w:tcPr>
            <w:tcW w:type="dxa" w:w="1728"/>
          </w:tcPr>
          <w:p>
            <w:r>
              <w:rPr>
                <w:rFonts w:ascii="Calibri" w:hAnsi="Calibri"/>
                <w:sz w:val="22"/>
              </w:rPr>
              <w:t>Q2 FY2025 (Mar-25)</w:t>
            </w:r>
          </w:p>
        </w:tc>
        <w:tc>
          <w:tcPr>
            <w:tcW w:type="dxa" w:w="1728"/>
          </w:tcPr>
          <w:p>
            <w:r>
              <w:rPr>
                <w:rFonts w:ascii="Calibri" w:hAnsi="Calibri"/>
                <w:sz w:val="22"/>
              </w:rPr>
              <w:t>22,437</w:t>
            </w:r>
          </w:p>
        </w:tc>
        <w:tc>
          <w:tcPr>
            <w:tcW w:type="dxa" w:w="1728"/>
          </w:tcPr>
          <w:p>
            <w:r>
              <w:rPr>
                <w:rFonts w:ascii="Calibri" w:hAnsi="Calibri"/>
                <w:sz w:val="22"/>
              </w:rPr>
              <w:t>26,385</w:t>
            </w:r>
          </w:p>
        </w:tc>
        <w:tc>
          <w:tcPr>
            <w:tcW w:type="dxa" w:w="1728"/>
          </w:tcPr>
          <w:p>
            <w:r>
              <w:rPr>
                <w:rFonts w:ascii="Calibri" w:hAnsi="Calibri"/>
                <w:sz w:val="22"/>
              </w:rPr>
              <w:t>−14.9%</w:t>
            </w:r>
          </w:p>
        </w:tc>
        <w:tc>
          <w:tcPr>
            <w:tcW w:type="dxa" w:w="1728"/>
          </w:tcPr>
          <w:p>
            <w:r>
              <w:rPr>
                <w:rFonts w:ascii="Calibri" w:hAnsi="Calibri"/>
                <w:b/>
                <w:color w:val="E5484D"/>
                <w:sz w:val="22"/>
              </w:rPr>
              <w:t>Miss</w:t>
            </w:r>
          </w:p>
        </w:tc>
      </w:tr>
      <w:tr>
        <w:tc>
          <w:tcPr>
            <w:tcW w:type="dxa" w:w="1728"/>
          </w:tcPr>
          <w:p>
            <w:r>
              <w:rPr>
                <w:rFonts w:ascii="Calibri" w:hAnsi="Calibri"/>
                <w:sz w:val="22"/>
              </w:rPr>
              <w:t>Q3 FY2025 (Jun-25)</w:t>
            </w:r>
          </w:p>
        </w:tc>
        <w:tc>
          <w:tcPr>
            <w:tcW w:type="dxa" w:w="1728"/>
          </w:tcPr>
          <w:p>
            <w:r>
              <w:rPr>
                <w:rFonts w:ascii="Calibri" w:hAnsi="Calibri"/>
                <w:sz w:val="22"/>
              </w:rPr>
              <w:t>23,071</w:t>
            </w:r>
          </w:p>
        </w:tc>
        <w:tc>
          <w:tcPr>
            <w:tcW w:type="dxa" w:w="1728"/>
          </w:tcPr>
          <w:p>
            <w:r>
              <w:rPr>
                <w:rFonts w:ascii="Calibri" w:hAnsi="Calibri"/>
                <w:sz w:val="22"/>
              </w:rPr>
              <w:t>21,982</w:t>
            </w:r>
          </w:p>
        </w:tc>
        <w:tc>
          <w:tcPr>
            <w:tcW w:type="dxa" w:w="1728"/>
          </w:tcPr>
          <w:p>
            <w:r>
              <w:rPr>
                <w:rFonts w:ascii="Calibri" w:hAnsi="Calibri"/>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Q4 FY2025 (Sep-25)</w:t>
            </w:r>
          </w:p>
        </w:tc>
        <w:tc>
          <w:tcPr>
            <w:tcW w:type="dxa" w:w="1728"/>
          </w:tcPr>
          <w:p>
            <w:r>
              <w:rPr>
                <w:rFonts w:ascii="Calibri" w:hAnsi="Calibri"/>
                <w:sz w:val="22"/>
              </w:rPr>
              <w:t>20,078</w:t>
            </w:r>
          </w:p>
        </w:tc>
        <w:tc>
          <w:tcPr>
            <w:tcW w:type="dxa" w:w="1728"/>
          </w:tcPr>
          <w:p>
            <w:r>
              <w:rPr>
                <w:rFonts w:ascii="Calibri" w:hAnsi="Calibri"/>
                <w:sz w:val="22"/>
              </w:rPr>
              <w:t>19,825</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Q1 FY2026 (Dec-25)</w:t>
            </w:r>
          </w:p>
        </w:tc>
        <w:tc>
          <w:tcPr>
            <w:tcW w:type="dxa" w:w="1728"/>
          </w:tcPr>
          <w:p>
            <w:r>
              <w:rPr>
                <w:rFonts w:ascii="Calibri" w:hAnsi="Calibri"/>
                <w:sz w:val="22"/>
              </w:rPr>
              <w:t>18,300</w:t>
            </w:r>
          </w:p>
        </w:tc>
        <w:tc>
          <w:tcPr>
            <w:tcW w:type="dxa" w:w="1728"/>
          </w:tcPr>
          <w:p>
            <w:r>
              <w:rPr>
                <w:rFonts w:ascii="Calibri" w:hAnsi="Calibri"/>
                <w:sz w:val="22"/>
              </w:rPr>
              <w:t>18,706</w:t>
            </w:r>
          </w:p>
        </w:tc>
        <w:tc>
          <w:tcPr>
            <w:tcW w:type="dxa" w:w="1728"/>
          </w:tcPr>
          <w:p>
            <w:r>
              <w:rPr>
                <w:rFonts w:ascii="Calibri" w:hAnsi="Calibri"/>
                <w:sz w:val="22"/>
              </w:rPr>
              <w:t>−2.2%</w:t>
            </w:r>
          </w:p>
        </w:tc>
        <w:tc>
          <w:tcPr>
            <w:tcW w:type="dxa" w:w="1728"/>
          </w:tcPr>
          <w:p>
            <w:r>
              <w:rPr>
                <w:rFonts w:ascii="Calibri" w:hAnsi="Calibri"/>
                <w:b/>
                <w:color w:val="E5484D"/>
                <w:sz w:val="22"/>
              </w:rPr>
              <w:t>Miss</w:t>
            </w:r>
          </w:p>
        </w:tc>
      </w:tr>
      <w:tr>
        <w:tc>
          <w:tcPr>
            <w:tcW w:type="dxa" w:w="1728"/>
          </w:tcPr>
          <w:p>
            <w:r>
              <w:rPr>
                <w:rFonts w:ascii="Calibri" w:hAnsi="Calibri"/>
                <w:sz w:val="22"/>
              </w:rPr>
              <w:t>Q2 FY2026 (Mar-26)</w:t>
            </w:r>
          </w:p>
        </w:tc>
        <w:tc>
          <w:tcPr>
            <w:tcW w:type="dxa" w:w="1728"/>
          </w:tcPr>
          <w:p>
            <w:r>
              <w:rPr>
                <w:rFonts w:ascii="Calibri" w:hAnsi="Calibri"/>
                <w:sz w:val="22"/>
              </w:rPr>
              <w:t>24,992</w:t>
            </w:r>
          </w:p>
        </w:tc>
        <w:tc>
          <w:tcPr>
            <w:tcW w:type="dxa" w:w="1728"/>
          </w:tcPr>
          <w:p>
            <w:r>
              <w:rPr>
                <w:rFonts w:ascii="Calibri" w:hAnsi="Calibri"/>
                <w:sz w:val="22"/>
              </w:rPr>
              <w:t>23,577</w:t>
            </w:r>
          </w:p>
        </w:tc>
        <w:tc>
          <w:tcPr>
            <w:tcW w:type="dxa" w:w="1728"/>
          </w:tcPr>
          <w:p>
            <w:r>
              <w:rPr>
                <w:rFonts w:ascii="Calibri" w:hAnsi="Calibri"/>
                <w:sz w:val="22"/>
              </w:rPr>
              <w:t>+6.0%</w:t>
            </w:r>
          </w:p>
        </w:tc>
        <w:tc>
          <w:tcPr>
            <w:tcW w:type="dxa" w:w="1728"/>
          </w:tcPr>
          <w:p>
            <w:r>
              <w:rPr>
                <w:rFonts w:ascii="Calibri" w:hAnsi="Calibri"/>
                <w:b/>
                <w:color w:val="30A46C"/>
                <w:sz w:val="22"/>
              </w:rPr>
              <w:t>Beat</w:t>
            </w:r>
          </w:p>
        </w:tc>
      </w:tr>
    </w:tbl>
    <w:p>
      <w:r>
        <w:rPr>
          <w:rFonts w:ascii="Calibri" w:hAnsi="Calibri"/>
          <w:i/>
          <w:color w:val="525866"/>
          <w:sz w:val="22"/>
        </w:rPr>
        <w:t>Source: Visible Alpha Consensus and Actuals Data.</w:t>
      </w:r>
    </w:p>
    <w:p>
      <w:r>
        <w:rPr>
          <w:rFonts w:ascii="Calibri" w:hAnsi="Calibri"/>
          <w:b/>
          <w:color w:val="525866"/>
          <w:sz w:val="22"/>
        </w:rPr>
        <w:t xml:space="preserve">Pattern: </w:t>
      </w:r>
      <w:r>
        <w:rPr>
          <w:rFonts w:ascii="Calibri" w:hAnsi="Calibri"/>
          <w:color w:val="525866"/>
          <w:sz w:val="22"/>
        </w:rPr>
        <w:t>DHI has beaten on gross margin in 2 of the last 2 quarters after a 3-quarter miss streak, suggesting the company has reset the bar conservatively; on net new orders, the pattern is mixed (4 misses, 3 beats in 7 reported quarters), with the most recent Q2 FY2026 a meaningful beat — raising the bar for Q3 orders consensus of ~24,129.</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stable since the April 21 earnings call with no post-earnings revisions via 8-K or conference. Management's tone was measured-to-constructive: demand tracking normal seasonality, incentives guided stable Q2-to-Q3, and construction cost savings expected to provide incremental margin support in the back half. The only notable post-earnings corporate action was an amendment to DHI Mortgage's repurchase facility (May 12, 2026), which is balance-sheet housekeeping rather than a guidance signal.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Apr 21,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FY2026 Revenue</w:t>
            </w:r>
          </w:p>
        </w:tc>
        <w:tc>
          <w:tcPr>
            <w:tcW w:type="dxa" w:w="1728"/>
          </w:tcPr>
          <w:p>
            <w:r>
              <w:rPr>
                <w:rFonts w:ascii="Calibri" w:hAnsi="Calibri"/>
                <w:sz w:val="22"/>
              </w:rPr>
              <w:t>$8.8B – $9.3B</w:t>
            </w:r>
          </w:p>
        </w:tc>
        <w:tc>
          <w:tcPr>
            <w:tcW w:type="dxa" w:w="1728"/>
          </w:tcPr>
          <w:p>
            <w:r>
              <w:rPr>
                <w:rFonts w:ascii="Calibri" w:hAnsi="Calibri"/>
                <w:sz w:val="22"/>
              </w:rPr>
              <w:t>—</w:t>
            </w:r>
          </w:p>
        </w:tc>
        <w:tc>
          <w:tcPr>
            <w:tcW w:type="dxa" w:w="1728"/>
          </w:tcPr>
          <w:p>
            <w:r>
              <w:rPr>
                <w:rFonts w:ascii="Calibri" w:hAnsi="Calibri"/>
                <w:sz w:val="22"/>
              </w:rPr>
              <w:t>$9.19B</w:t>
            </w:r>
          </w:p>
        </w:tc>
        <w:tc>
          <w:tcPr>
            <w:tcW w:type="dxa" w:w="1728"/>
          </w:tcPr>
          <w:p>
            <w:r>
              <w:rPr>
                <w:rFonts w:ascii="Calibri" w:hAnsi="Calibri"/>
                <w:sz w:val="22"/>
              </w:rPr>
              <w:t>Unchanged; consensus near midpoint ($9.05B mid)</w:t>
            </w:r>
          </w:p>
        </w:tc>
      </w:tr>
      <w:tr>
        <w:tc>
          <w:tcPr>
            <w:tcW w:type="dxa" w:w="1728"/>
          </w:tcPr>
          <w:p>
            <w:r>
              <w:rPr>
                <w:rFonts w:ascii="Calibri" w:hAnsi="Calibri"/>
                <w:sz w:val="22"/>
              </w:rPr>
              <w:t>Q3 FY2026 Home Closings</w:t>
            </w:r>
          </w:p>
        </w:tc>
        <w:tc>
          <w:tcPr>
            <w:tcW w:type="dxa" w:w="1728"/>
          </w:tcPr>
          <w:p>
            <w:r>
              <w:rPr>
                <w:rFonts w:ascii="Calibri" w:hAnsi="Calibri"/>
                <w:sz w:val="22"/>
              </w:rPr>
              <w:t>23,500 – 24,000</w:t>
            </w:r>
          </w:p>
        </w:tc>
        <w:tc>
          <w:tcPr>
            <w:tcW w:type="dxa" w:w="1728"/>
          </w:tcPr>
          <w:p>
            <w:r>
              <w:rPr>
                <w:rFonts w:ascii="Calibri" w:hAnsi="Calibri"/>
                <w:sz w:val="22"/>
              </w:rPr>
              <w:t>—</w:t>
            </w:r>
          </w:p>
        </w:tc>
        <w:tc>
          <w:tcPr>
            <w:tcW w:type="dxa" w:w="1728"/>
          </w:tcPr>
          <w:p>
            <w:r>
              <w:rPr>
                <w:rFonts w:ascii="Calibri" w:hAnsi="Calibri"/>
                <w:sz w:val="22"/>
              </w:rPr>
              <w:t>23,777</w:t>
            </w:r>
          </w:p>
        </w:tc>
        <w:tc>
          <w:tcPr>
            <w:tcW w:type="dxa" w:w="1728"/>
          </w:tcPr>
          <w:p>
            <w:r>
              <w:rPr>
                <w:rFonts w:ascii="Calibri" w:hAnsi="Calibri"/>
                <w:sz w:val="22"/>
              </w:rPr>
              <w:t>Unchanged; consensus at midpoint</w:t>
            </w:r>
          </w:p>
        </w:tc>
      </w:tr>
      <w:tr>
        <w:tc>
          <w:tcPr>
            <w:tcW w:type="dxa" w:w="1728"/>
          </w:tcPr>
          <w:p>
            <w:r>
              <w:rPr>
                <w:rFonts w:ascii="Calibri" w:hAnsi="Calibri"/>
                <w:sz w:val="22"/>
              </w:rPr>
              <w:t>Q3 FY2026 Home Sales Gross Margin</w:t>
            </w:r>
          </w:p>
        </w:tc>
        <w:tc>
          <w:tcPr>
            <w:tcW w:type="dxa" w:w="1728"/>
          </w:tcPr>
          <w:p>
            <w:r>
              <w:rPr>
                <w:rFonts w:ascii="Calibri" w:hAnsi="Calibri"/>
                <w:sz w:val="22"/>
              </w:rPr>
              <w:t>19.7% – 20.2%</w:t>
            </w:r>
          </w:p>
        </w:tc>
        <w:tc>
          <w:tcPr>
            <w:tcW w:type="dxa" w:w="1728"/>
          </w:tcPr>
          <w:p>
            <w:r>
              <w:rPr>
                <w:rFonts w:ascii="Calibri" w:hAnsi="Calibri"/>
                <w:sz w:val="22"/>
              </w:rPr>
              <w:t>—</w:t>
            </w:r>
          </w:p>
        </w:tc>
        <w:tc>
          <w:tcPr>
            <w:tcW w:type="dxa" w:w="1728"/>
          </w:tcPr>
          <w:p>
            <w:r>
              <w:rPr>
                <w:rFonts w:ascii="Calibri" w:hAnsi="Calibri"/>
                <w:sz w:val="22"/>
              </w:rPr>
              <w:t>19.81%</w:t>
            </w:r>
          </w:p>
        </w:tc>
        <w:tc>
          <w:tcPr>
            <w:tcW w:type="dxa" w:w="1728"/>
          </w:tcPr>
          <w:p>
            <w:r>
              <w:rPr>
                <w:rFonts w:ascii="Calibri" w:hAnsi="Calibri"/>
                <w:sz w:val="22"/>
              </w:rPr>
              <w:t>Unchanged; consensus slightly below midpoint (19.95%); incentive stability key assumption</w:t>
            </w:r>
          </w:p>
        </w:tc>
      </w:tr>
      <w:tr>
        <w:tc>
          <w:tcPr>
            <w:tcW w:type="dxa" w:w="1728"/>
          </w:tcPr>
          <w:p>
            <w:r>
              <w:rPr>
                <w:rFonts w:ascii="Calibri" w:hAnsi="Calibri"/>
                <w:sz w:val="22"/>
              </w:rPr>
              <w:t>Q3 FY2026 Pretax Margin</w:t>
            </w:r>
          </w:p>
        </w:tc>
        <w:tc>
          <w:tcPr>
            <w:tcW w:type="dxa" w:w="1728"/>
          </w:tcPr>
          <w:p>
            <w:r>
              <w:rPr>
                <w:rFonts w:ascii="Calibri" w:hAnsi="Calibri"/>
                <w:sz w:val="22"/>
              </w:rPr>
              <w:t>12.2% – 12.7%</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SG&amp;A leverage expected as closings step up</w:t>
            </w:r>
          </w:p>
        </w:tc>
      </w:tr>
      <w:tr>
        <w:tc>
          <w:tcPr>
            <w:tcW w:type="dxa" w:w="1728"/>
          </w:tcPr>
          <w:p>
            <w:r>
              <w:rPr>
                <w:rFonts w:ascii="Calibri" w:hAnsi="Calibri"/>
                <w:sz w:val="22"/>
              </w:rPr>
              <w:t>FY2026 Revenue</w:t>
            </w:r>
          </w:p>
        </w:tc>
        <w:tc>
          <w:tcPr>
            <w:tcW w:type="dxa" w:w="1728"/>
          </w:tcPr>
          <w:p>
            <w:r>
              <w:rPr>
                <w:rFonts w:ascii="Calibri" w:hAnsi="Calibri"/>
                <w:sz w:val="22"/>
              </w:rPr>
              <w:t>$33.5B – $34.5B (trimmed top end from prior $34.0B–$35.5B)</w:t>
            </w:r>
          </w:p>
        </w:tc>
        <w:tc>
          <w:tcPr>
            <w:tcW w:type="dxa" w:w="1728"/>
          </w:tcPr>
          <w:p>
            <w:r>
              <w:rPr>
                <w:rFonts w:ascii="Calibri" w:hAnsi="Calibri"/>
                <w:sz w:val="22"/>
              </w:rPr>
              <w:t>—</w:t>
            </w:r>
          </w:p>
        </w:tc>
        <w:tc>
          <w:tcPr>
            <w:tcW w:type="dxa" w:w="1728"/>
          </w:tcPr>
          <w:p>
            <w:r>
              <w:rPr>
                <w:rFonts w:ascii="Calibri" w:hAnsi="Calibri"/>
                <w:sz w:val="22"/>
              </w:rPr>
              <w:t>$33.87B</w:t>
            </w:r>
          </w:p>
        </w:tc>
        <w:tc>
          <w:tcPr>
            <w:tcW w:type="dxa" w:w="1728"/>
          </w:tcPr>
          <w:p>
            <w:r>
              <w:rPr>
                <w:rFonts w:ascii="Calibri" w:hAnsi="Calibri"/>
                <w:sz w:val="22"/>
              </w:rPr>
              <w:t>Top end trimmed on Q2 call; H1 closings light; ASP not expected to recover in H2</w:t>
            </w:r>
          </w:p>
        </w:tc>
      </w:tr>
      <w:tr>
        <w:tc>
          <w:tcPr>
            <w:tcW w:type="dxa" w:w="1728"/>
          </w:tcPr>
          <w:p>
            <w:r>
              <w:rPr>
                <w:rFonts w:ascii="Calibri" w:hAnsi="Calibri"/>
                <w:sz w:val="22"/>
              </w:rPr>
              <w:t>FY2026 Home Closings</w:t>
            </w:r>
          </w:p>
        </w:tc>
        <w:tc>
          <w:tcPr>
            <w:tcW w:type="dxa" w:w="1728"/>
          </w:tcPr>
          <w:p>
            <w:r>
              <w:rPr>
                <w:rFonts w:ascii="Calibri" w:hAnsi="Calibri"/>
                <w:sz w:val="22"/>
              </w:rPr>
              <w:t>86,000 – 87,500</w:t>
            </w:r>
          </w:p>
        </w:tc>
        <w:tc>
          <w:tcPr>
            <w:tcW w:type="dxa" w:w="1728"/>
          </w:tcPr>
          <w:p>
            <w:r>
              <w:rPr>
                <w:rFonts w:ascii="Calibri" w:hAnsi="Calibri"/>
                <w:sz w:val="22"/>
              </w:rPr>
              <w:t>—</w:t>
            </w:r>
          </w:p>
        </w:tc>
        <w:tc>
          <w:tcPr>
            <w:tcW w:type="dxa" w:w="1728"/>
          </w:tcPr>
          <w:p>
            <w:r>
              <w:rPr>
                <w:rFonts w:ascii="Calibri" w:hAnsi="Calibri"/>
                <w:sz w:val="22"/>
              </w:rPr>
              <w:t>86,698</w:t>
            </w:r>
          </w:p>
        </w:tc>
        <w:tc>
          <w:tcPr>
            <w:tcW w:type="dxa" w:w="1728"/>
          </w:tcPr>
          <w:p>
            <w:r>
              <w:rPr>
                <w:rFonts w:ascii="Calibri" w:hAnsi="Calibri"/>
                <w:sz w:val="22"/>
              </w:rPr>
              <w:t>Unchanged since Q2 call; consensus near low end</w:t>
            </w:r>
          </w:p>
        </w:tc>
      </w:tr>
      <w:tr>
        <w:tc>
          <w:tcPr>
            <w:tcW w:type="dxa" w:w="1728"/>
          </w:tcPr>
          <w:p>
            <w:r>
              <w:rPr>
                <w:rFonts w:ascii="Calibri" w:hAnsi="Calibri"/>
                <w:sz w:val="22"/>
              </w:rPr>
              <w:t>FY2026 Operating Cash Flow</w:t>
            </w:r>
          </w:p>
        </w:tc>
        <w:tc>
          <w:tcPr>
            <w:tcW w:type="dxa" w:w="1728"/>
          </w:tcPr>
          <w:p>
            <w:r>
              <w:rPr>
                <w:rFonts w:ascii="Calibri" w:hAnsi="Calibri"/>
                <w:sz w:val="22"/>
              </w:rPr>
              <w:t>At least $3.0B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unchanged</w:t>
            </w:r>
          </w:p>
        </w:tc>
      </w:tr>
      <w:tr>
        <w:tc>
          <w:tcPr>
            <w:tcW w:type="dxa" w:w="1728"/>
          </w:tcPr>
          <w:p>
            <w:r>
              <w:rPr>
                <w:rFonts w:ascii="Calibri" w:hAnsi="Calibri"/>
                <w:sz w:val="22"/>
              </w:rPr>
              <w:t>FY2026 Share Repurchases</w:t>
            </w:r>
          </w:p>
        </w:tc>
        <w:tc>
          <w:tcPr>
            <w:tcW w:type="dxa" w:w="1728"/>
          </w:tcPr>
          <w:p>
            <w:r>
              <w:rPr>
                <w:rFonts w:ascii="Calibri" w:hAnsi="Calibri"/>
                <w:sz w:val="22"/>
              </w:rPr>
              <w:t>~$2.5B</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unchanged</w:t>
            </w:r>
          </w:p>
        </w:tc>
      </w:tr>
      <w:tr>
        <w:tc>
          <w:tcPr>
            <w:tcW w:type="dxa" w:w="1728"/>
          </w:tcPr>
          <w:p>
            <w:r>
              <w:rPr>
                <w:rFonts w:ascii="Calibri" w:hAnsi="Calibri"/>
                <w:sz w:val="22"/>
              </w:rPr>
              <w:t>Incentive Levels</w:t>
            </w:r>
          </w:p>
        </w:tc>
        <w:tc>
          <w:tcPr>
            <w:tcW w:type="dxa" w:w="1728"/>
          </w:tcPr>
          <w:p>
            <w:r>
              <w:rPr>
                <w:rFonts w:ascii="Calibri" w:hAnsi="Calibri"/>
                <w:sz w:val="22"/>
              </w:rPr>
              <w:t>Stable Q2-to-Q3; elevated for remainder of FY2026; ~10% of revenues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qualitative assumption; any deviation is the primary margin risk</w:t>
            </w:r>
          </w:p>
        </w:tc>
      </w:tr>
    </w:tbl>
    <w:p>
      <w:r>
        <w:rPr>
          <w:rFonts w:ascii="Calibri" w:hAnsi="Calibri"/>
          <w:i/>
          <w:color w:val="525866"/>
          <w:sz w:val="22"/>
        </w:rPr>
        <w:t>Source: DHI Q2 FY2026 Earnings Release and Earnings Call Transcript (April 21, 2026); DHI 8-K filed May 12, 2026 (DHI Mortgage repurchase facility amendment — no guidance change); Visible Alpha Consensus.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Q2 print — the Street has essentially accepted management's framework with minimal revision activity. For Q3, the operating EPS consensus has drifted only ~$0.02 lower since the post-print baseline, suggesting no incremental bearishness. For FY2026, estimates are flat to marginally higher, consistent with the company reiterating its full-year guidance. The gap between consensus and guidance midpoints is narrow on all key metrics, leaving little cushion if execution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(as of Apr 28, 2026)</w:t>
            </w:r>
          </w:p>
        </w:tc>
        <w:tc>
          <w:tcPr>
            <w:tcW w:type="dxa" w:w="1080"/>
            <w:shd w:val="clear" w:color="auto" w:fill="3B4259"/>
          </w:tcPr>
          <w:p>
            <w:r>
              <w:rPr>
                <w:rFonts w:ascii="Calibri" w:hAnsi="Calibri"/>
                <w:b/>
                <w:color w:val="FFFFFF"/>
                <w:sz w:val="22"/>
              </w:rPr>
              <w:t>Current Consensus (Jul 20,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21,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Diluted EPS — Operating (Q3 FY2026)</w:t>
            </w:r>
          </w:p>
        </w:tc>
        <w:tc>
          <w:tcPr>
            <w:tcW w:type="dxa" w:w="1080"/>
          </w:tcPr>
          <w:p>
            <w:r>
              <w:rPr>
                <w:rFonts w:ascii="Calibri" w:hAnsi="Calibri"/>
                <w:sz w:val="22"/>
              </w:rPr>
              <w:t>$2.99</w:t>
            </w:r>
          </w:p>
        </w:tc>
        <w:tc>
          <w:tcPr>
            <w:tcW w:type="dxa" w:w="1080"/>
          </w:tcPr>
          <w:p>
            <w:r>
              <w:rPr>
                <w:rFonts w:ascii="Calibri" w:hAnsi="Calibri"/>
                <w:sz w:val="22"/>
              </w:rPr>
              <w:t>$2.97</w:t>
            </w:r>
          </w:p>
        </w:tc>
        <w:tc>
          <w:tcPr>
            <w:tcW w:type="dxa" w:w="1080"/>
          </w:tcPr>
          <w:p>
            <w:r>
              <w:rPr>
                <w:rFonts w:ascii="Calibri" w:hAnsi="Calibri"/>
                <w:sz w:val="22"/>
              </w:rPr>
              <w:t>−0.7%</w:t>
            </w:r>
          </w:p>
        </w:tc>
        <w:tc>
          <w:tcPr>
            <w:tcW w:type="dxa" w:w="1080"/>
          </w:tcPr>
          <w:p>
            <w:r>
              <w:rPr>
                <w:rFonts w:ascii="Calibri" w:hAnsi="Calibri"/>
                <w:sz w:val="22"/>
              </w:rPr>
              <w:t>Implied by pretax margin 12.2%–12.7%</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Total Revenue (Q3 FY2026)</w:t>
            </w:r>
          </w:p>
        </w:tc>
        <w:tc>
          <w:tcPr>
            <w:tcW w:type="dxa" w:w="1080"/>
          </w:tcPr>
          <w:p>
            <w:r>
              <w:rPr>
                <w:rFonts w:ascii="Calibri" w:hAnsi="Calibri"/>
                <w:sz w:val="22"/>
              </w:rPr>
              <w:t>$9.197B</w:t>
            </w:r>
          </w:p>
        </w:tc>
        <w:tc>
          <w:tcPr>
            <w:tcW w:type="dxa" w:w="1080"/>
          </w:tcPr>
          <w:p>
            <w:r>
              <w:rPr>
                <w:rFonts w:ascii="Calibri" w:hAnsi="Calibri"/>
                <w:sz w:val="22"/>
              </w:rPr>
              <w:t>$9.187B</w:t>
            </w:r>
          </w:p>
        </w:tc>
        <w:tc>
          <w:tcPr>
            <w:tcW w:type="dxa" w:w="1080"/>
          </w:tcPr>
          <w:p>
            <w:r>
              <w:rPr>
                <w:rFonts w:ascii="Calibri" w:hAnsi="Calibri"/>
                <w:sz w:val="22"/>
              </w:rPr>
              <w:t>−0.1%</w:t>
            </w:r>
          </w:p>
        </w:tc>
        <w:tc>
          <w:tcPr>
            <w:tcW w:type="dxa" w:w="1080"/>
          </w:tcPr>
          <w:p>
            <w:r>
              <w:rPr>
                <w:rFonts w:ascii="Calibri" w:hAnsi="Calibri"/>
                <w:sz w:val="22"/>
              </w:rPr>
              <w:t>$8.8B – $9.3B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$9.05B mid</w:t>
            </w:r>
          </w:p>
        </w:tc>
      </w:tr>
      <w:tr>
        <w:tc>
          <w:tcPr>
            <w:tcW w:type="dxa" w:w="1080"/>
          </w:tcPr>
          <w:p>
            <w:r>
              <w:rPr>
                <w:rFonts w:ascii="Calibri" w:hAnsi="Calibri"/>
                <w:sz w:val="22"/>
              </w:rPr>
              <w:t>Home Sales Gross Margin (Q3 FY2026)</w:t>
            </w:r>
          </w:p>
        </w:tc>
        <w:tc>
          <w:tcPr>
            <w:tcW w:type="dxa" w:w="1080"/>
          </w:tcPr>
          <w:p>
            <w:r>
              <w:rPr>
                <w:rFonts w:ascii="Calibri" w:hAnsi="Calibri"/>
                <w:sz w:val="22"/>
              </w:rPr>
              <w:t>19.89%</w:t>
            </w:r>
          </w:p>
        </w:tc>
        <w:tc>
          <w:tcPr>
            <w:tcW w:type="dxa" w:w="1080"/>
          </w:tcPr>
          <w:p>
            <w:r>
              <w:rPr>
                <w:rFonts w:ascii="Calibri" w:hAnsi="Calibri"/>
                <w:sz w:val="22"/>
              </w:rPr>
              <w:t>19.81%</w:t>
            </w:r>
          </w:p>
        </w:tc>
        <w:tc>
          <w:tcPr>
            <w:tcW w:type="dxa" w:w="1080"/>
          </w:tcPr>
          <w:p>
            <w:r>
              <w:rPr>
                <w:rFonts w:ascii="Calibri" w:hAnsi="Calibri"/>
                <w:sz w:val="22"/>
              </w:rPr>
              <w:t>−0.4%</w:t>
            </w:r>
          </w:p>
        </w:tc>
        <w:tc>
          <w:tcPr>
            <w:tcW w:type="dxa" w:w="1080"/>
          </w:tcPr>
          <w:p>
            <w:r>
              <w:rPr>
                <w:rFonts w:ascii="Calibri" w:hAnsi="Calibri"/>
                <w:sz w:val="22"/>
              </w:rPr>
              <w:t>19.7% – 20.2%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−34 bps vs. 19.95% mid</w:t>
            </w:r>
          </w:p>
        </w:tc>
      </w:tr>
      <w:tr>
        <w:tc>
          <w:tcPr>
            <w:tcW w:type="dxa" w:w="1080"/>
          </w:tcPr>
          <w:p>
            <w:r>
              <w:rPr>
                <w:rFonts w:ascii="Calibri" w:hAnsi="Calibri"/>
                <w:sz w:val="22"/>
              </w:rPr>
              <w:t>Net New Orders (Q3 FY2026)</w:t>
            </w:r>
          </w:p>
        </w:tc>
        <w:tc>
          <w:tcPr>
            <w:tcW w:type="dxa" w:w="1080"/>
          </w:tcPr>
          <w:p>
            <w:r>
              <w:rPr>
                <w:rFonts w:ascii="Calibri" w:hAnsi="Calibri"/>
                <w:sz w:val="22"/>
              </w:rPr>
              <w:t>24,121</w:t>
            </w:r>
          </w:p>
        </w:tc>
        <w:tc>
          <w:tcPr>
            <w:tcW w:type="dxa" w:w="1080"/>
          </w:tcPr>
          <w:p>
            <w:r>
              <w:rPr>
                <w:rFonts w:ascii="Calibri" w:hAnsi="Calibri"/>
                <w:sz w:val="22"/>
              </w:rPr>
              <w:t>24,129</w:t>
            </w:r>
          </w:p>
        </w:tc>
        <w:tc>
          <w:tcPr>
            <w:tcW w:type="dxa" w:w="1080"/>
          </w:tcPr>
          <w:p>
            <w:r>
              <w:rPr>
                <w:rFonts w:ascii="Calibri" w:hAnsi="Calibri"/>
                <w:sz w:val="22"/>
              </w:rPr>
              <w:t>+0.0%</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Diluted EPS — Operating (FY2026)</w:t>
            </w:r>
          </w:p>
        </w:tc>
        <w:tc>
          <w:tcPr>
            <w:tcW w:type="dxa" w:w="1080"/>
          </w:tcPr>
          <w:p>
            <w:r>
              <w:rPr>
                <w:rFonts w:ascii="Calibri" w:hAnsi="Calibri"/>
                <w:sz w:val="22"/>
              </w:rPr>
              <w:t>$10.62</w:t>
            </w:r>
          </w:p>
        </w:tc>
        <w:tc>
          <w:tcPr>
            <w:tcW w:type="dxa" w:w="1080"/>
          </w:tcPr>
          <w:p>
            <w:r>
              <w:rPr>
                <w:rFonts w:ascii="Calibri" w:hAnsi="Calibri"/>
                <w:sz w:val="22"/>
              </w:rPr>
              <w:t>$10.67</w:t>
            </w:r>
          </w:p>
        </w:tc>
        <w:tc>
          <w:tcPr>
            <w:tcW w:type="dxa" w:w="1080"/>
          </w:tcPr>
          <w:p>
            <w:r>
              <w:rPr>
                <w:rFonts w:ascii="Calibri" w:hAnsi="Calibri"/>
                <w:sz w:val="22"/>
              </w:rPr>
              <w:t>+0.5%</w:t>
            </w:r>
          </w:p>
        </w:tc>
        <w:tc>
          <w:tcPr>
            <w:tcW w:type="dxa" w:w="1080"/>
          </w:tcPr>
          <w:p>
            <w:r>
              <w:rPr>
                <w:rFonts w:ascii="Calibri" w:hAnsi="Calibri"/>
                <w:sz w:val="22"/>
              </w:rPr>
              <w:t>Implied by full-year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(FY2026)</w:t>
            </w:r>
          </w:p>
        </w:tc>
        <w:tc>
          <w:tcPr>
            <w:tcW w:type="dxa" w:w="1080"/>
          </w:tcPr>
          <w:p>
            <w:r>
              <w:rPr>
                <w:rFonts w:ascii="Calibri" w:hAnsi="Calibri"/>
                <w:sz w:val="22"/>
              </w:rPr>
              <w:t>$33.866B</w:t>
            </w:r>
          </w:p>
        </w:tc>
        <w:tc>
          <w:tcPr>
            <w:tcW w:type="dxa" w:w="1080"/>
          </w:tcPr>
          <w:p>
            <w:r>
              <w:rPr>
                <w:rFonts w:ascii="Calibri" w:hAnsi="Calibri"/>
                <w:sz w:val="22"/>
              </w:rPr>
              <w:t>$33.815B</w:t>
            </w:r>
          </w:p>
        </w:tc>
        <w:tc>
          <w:tcPr>
            <w:tcW w:type="dxa" w:w="1080"/>
          </w:tcPr>
          <w:p>
            <w:r>
              <w:rPr>
                <w:rFonts w:ascii="Calibri" w:hAnsi="Calibri"/>
                <w:sz w:val="22"/>
              </w:rPr>
              <w:t>−0.2%</w:t>
            </w:r>
          </w:p>
        </w:tc>
        <w:tc>
          <w:tcPr>
            <w:tcW w:type="dxa" w:w="1080"/>
          </w:tcPr>
          <w:p>
            <w:r>
              <w:rPr>
                <w:rFonts w:ascii="Calibri" w:hAnsi="Calibri"/>
                <w:sz w:val="22"/>
              </w:rPr>
              <w:t>$33.5B – $34.5B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vs. $34.0B mid</w:t>
            </w:r>
          </w:p>
        </w:tc>
      </w:tr>
      <w:tr>
        <w:tc>
          <w:tcPr>
            <w:tcW w:type="dxa" w:w="1080"/>
          </w:tcPr>
          <w:p>
            <w:r>
              <w:rPr>
                <w:rFonts w:ascii="Calibri" w:hAnsi="Calibri"/>
                <w:sz w:val="22"/>
              </w:rPr>
              <w:t>Home Sales Gross Margin (FY2026)</w:t>
            </w:r>
          </w:p>
        </w:tc>
        <w:tc>
          <w:tcPr>
            <w:tcW w:type="dxa" w:w="1080"/>
          </w:tcPr>
          <w:p>
            <w:r>
              <w:rPr>
                <w:rFonts w:ascii="Calibri" w:hAnsi="Calibri"/>
                <w:sz w:val="22"/>
              </w:rPr>
              <w:t>20.09%</w:t>
            </w:r>
          </w:p>
        </w:tc>
        <w:tc>
          <w:tcPr>
            <w:tcW w:type="dxa" w:w="1080"/>
          </w:tcPr>
          <w:p>
            <w:r>
              <w:rPr>
                <w:rFonts w:ascii="Calibri" w:hAnsi="Calibri"/>
                <w:sz w:val="22"/>
              </w:rPr>
              <w:t>20.04%</w:t>
            </w:r>
          </w:p>
        </w:tc>
        <w:tc>
          <w:tcPr>
            <w:tcW w:type="dxa" w:w="1080"/>
          </w:tcPr>
          <w:p>
            <w:r>
              <w:rPr>
                <w:rFonts w:ascii="Calibri" w:hAnsi="Calibri"/>
                <w:sz w:val="22"/>
              </w:rPr>
              <w:t>−0.2%</w:t>
            </w:r>
          </w:p>
        </w:tc>
        <w:tc>
          <w:tcPr>
            <w:tcW w:type="dxa" w:w="1080"/>
          </w:tcPr>
          <w:p>
            <w:r>
              <w:rPr>
                <w:rFonts w:ascii="Calibri" w:hAnsi="Calibri"/>
                <w:sz w:val="22"/>
              </w:rPr>
              <w:t>Not explicitly guided for full year</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(as-of date April 28, 2026 for post-print baseline; latest as of July 20, 2026 for current consensus). Guidance from DHI Q2 FY2026 Earnings Call Transcript (April 21, 2026).</w:t>
      </w:r>
    </w:p>
    <w:p>
      <w:r>
        <w:rPr>
          <w:rFonts w:ascii="Calibri" w:hAnsi="Calibri"/>
          <w:b/>
          <w:color w:val="525866"/>
          <w:sz w:val="22"/>
        </w:rPr>
        <w:t xml:space="preserve">Commentary: </w:t>
      </w:r>
      <w:r>
        <w:rPr>
          <w:rFonts w:ascii="Calibri" w:hAnsi="Calibri"/>
          <w:color w:val="525866"/>
          <w:sz w:val="22"/>
        </w:rPr>
        <w:t>The near-zero revision activity since the Q2 print is itself a signal — the Street is neither building in incremental upside from the strong Q2 orders beat nor cutting numbers on macro concerns. This creates a binary setup: a clean Q3 delivery at or above guidance midpoints could catalyze modest upward revisions to the back half, while any margin shortfall would likely trigger a more meaningful reset given the already-compressed FY2026 gross margin consensus of ~20.0%.</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DHI's ~10% decline over the past six months has been driven almost entirely by </w:t>
      </w:r>
      <w:r>
        <w:rPr>
          <w:rFonts w:ascii="Calibri" w:hAnsi="Calibri"/>
          <w:b/>
          <w:color w:val="525866"/>
          <w:sz w:val="22"/>
        </w:rPr>
        <w:t>multiple contraction</w:t>
      </w:r>
      <w:r>
        <w:rPr>
          <w:rFonts w:ascii="Calibri" w:hAnsi="Calibri"/>
          <w:color w:val="525866"/>
          <w:sz w:val="22"/>
        </w:rPr>
        <w:t xml:space="preserve"> rather than earnings cuts — the NTM EV/EBITDA multiple compressed from ~11.3x to ~11.1x over six months while estimates barely moved, suggesting the selloff reflects macro/sentiment re-rating rather than fundamental deterioration. The stock is not pricing in a beat.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DHI Price Change</w:t>
            </w:r>
          </w:p>
        </w:tc>
        <w:tc>
          <w:tcPr>
            <w:tcW w:type="dxa" w:w="1440"/>
            <w:shd w:val="clear" w:color="auto" w:fill="3B4259"/>
          </w:tcPr>
          <w:p>
            <w:r>
              <w:rPr>
                <w:rFonts w:ascii="Calibri" w:hAnsi="Calibri"/>
                <w:b/>
                <w:color w:val="FFFFFF"/>
                <w:sz w:val="22"/>
              </w:rPr>
              <w:t>NTM EV/EBITDA (Start)</w:t>
            </w:r>
          </w:p>
        </w:tc>
        <w:tc>
          <w:tcPr>
            <w:tcW w:type="dxa" w:w="1440"/>
            <w:shd w:val="clear" w:color="auto" w:fill="3B4259"/>
          </w:tcPr>
          <w:p>
            <w:r>
              <w:rPr>
                <w:rFonts w:ascii="Calibri" w:hAnsi="Calibri"/>
                <w:b/>
                <w:color w:val="FFFFFF"/>
                <w:sz w:val="22"/>
              </w:rPr>
              <w:t>NTM EV/EBITDA (Current)</w:t>
            </w:r>
          </w:p>
        </w:tc>
        <w:tc>
          <w:tcPr>
            <w:tcW w:type="dxa" w:w="1440"/>
            <w:shd w:val="clear" w:color="auto" w:fill="3B4259"/>
          </w:tcPr>
          <w:p>
            <w:r>
              <w:rPr>
                <w:rFonts w:ascii="Calibri" w:hAnsi="Calibri"/>
                <w:b/>
                <w:color w:val="FFFFFF"/>
                <w:sz w:val="22"/>
              </w:rPr>
              <w:t>Multiple Change</w:t>
            </w:r>
          </w:p>
        </w:tc>
        <w:tc>
          <w:tcPr>
            <w:tcW w:type="dxa" w:w="1440"/>
            <w:shd w:val="clear" w:color="auto" w:fill="3B4259"/>
          </w:tcPr>
          <w:p>
            <w:r>
              <w:rPr>
                <w:rFonts w:ascii="Calibri" w:hAnsi="Calibri"/>
                <w:b/>
                <w:color w:val="FFFFFF"/>
                <w:sz w:val="22"/>
              </w:rPr>
              <w:t>Driver</w:t>
            </w:r>
          </w:p>
        </w:tc>
      </w:tr>
      <w:tr>
        <w:tc>
          <w:tcPr>
            <w:tcW w:type="dxa" w:w="1440"/>
          </w:tcPr>
          <w:p>
            <w:r>
              <w:rPr>
                <w:rFonts w:ascii="Calibri" w:hAnsi="Calibri"/>
                <w:sz w:val="22"/>
              </w:rPr>
              <w:t>1 Month</w:t>
            </w:r>
          </w:p>
        </w:tc>
        <w:tc>
          <w:tcPr>
            <w:tcW w:type="dxa" w:w="1440"/>
          </w:tcPr>
          <w:p>
            <w:r>
              <w:rPr>
                <w:rFonts w:ascii="Calibri" w:hAnsi="Calibri"/>
                <w:sz w:val="22"/>
              </w:rPr>
              <w:t>−5.0%</w:t>
            </w:r>
          </w:p>
        </w:tc>
        <w:tc>
          <w:tcPr>
            <w:tcW w:type="dxa" w:w="1440"/>
          </w:tcPr>
          <w:p>
            <w:r>
              <w:rPr>
                <w:rFonts w:ascii="Calibri" w:hAnsi="Calibri"/>
                <w:sz w:val="22"/>
              </w:rPr>
              <w:t>11.60x</w:t>
            </w:r>
          </w:p>
        </w:tc>
        <w:tc>
          <w:tcPr>
            <w:tcW w:type="dxa" w:w="1440"/>
          </w:tcPr>
          <w:p>
            <w:r>
              <w:rPr>
                <w:rFonts w:ascii="Calibri" w:hAnsi="Calibri"/>
                <w:sz w:val="22"/>
              </w:rPr>
              <w:t>11.14x</w:t>
            </w:r>
          </w:p>
        </w:tc>
        <w:tc>
          <w:tcPr>
            <w:tcW w:type="dxa" w:w="1440"/>
          </w:tcPr>
          <w:p>
            <w:r>
              <w:rPr>
                <w:rFonts w:ascii="Calibri" w:hAnsi="Calibri"/>
                <w:sz w:val="22"/>
              </w:rPr>
              <w:t>−3.9%</w:t>
            </w:r>
          </w:p>
        </w:tc>
        <w:tc>
          <w:tcPr>
            <w:tcW w:type="dxa" w:w="1440"/>
          </w:tcPr>
          <w:p>
            <w:r>
              <w:rPr>
                <w:rFonts w:ascii="Calibri" w:hAnsi="Calibri"/>
                <w:sz w:val="22"/>
              </w:rPr>
              <w:t>Multiple contraction dominant</w:t>
            </w:r>
          </w:p>
        </w:tc>
      </w:tr>
      <w:tr>
        <w:tc>
          <w:tcPr>
            <w:tcW w:type="dxa" w:w="1440"/>
          </w:tcPr>
          <w:p>
            <w:r>
              <w:rPr>
                <w:rFonts w:ascii="Calibri" w:hAnsi="Calibri"/>
                <w:sz w:val="22"/>
              </w:rPr>
              <w:t>3 Months</w:t>
            </w:r>
          </w:p>
        </w:tc>
        <w:tc>
          <w:tcPr>
            <w:tcW w:type="dxa" w:w="1440"/>
          </w:tcPr>
          <w:p>
            <w:r>
              <w:rPr>
                <w:rFonts w:ascii="Calibri" w:hAnsi="Calibri"/>
                <w:sz w:val="22"/>
              </w:rPr>
              <w:t>−3.3%</w:t>
            </w:r>
          </w:p>
        </w:tc>
        <w:tc>
          <w:tcPr>
            <w:tcW w:type="dxa" w:w="1440"/>
          </w:tcPr>
          <w:p>
            <w:r>
              <w:rPr>
                <w:rFonts w:ascii="Calibri" w:hAnsi="Calibri"/>
                <w:sz w:val="22"/>
              </w:rPr>
              <w:t>10.76x</w:t>
            </w:r>
          </w:p>
        </w:tc>
        <w:tc>
          <w:tcPr>
            <w:tcW w:type="dxa" w:w="1440"/>
          </w:tcPr>
          <w:p>
            <w:r>
              <w:rPr>
                <w:rFonts w:ascii="Calibri" w:hAnsi="Calibri"/>
                <w:sz w:val="22"/>
              </w:rPr>
              <w:t>11.14x</w:t>
            </w:r>
          </w:p>
        </w:tc>
        <w:tc>
          <w:tcPr>
            <w:tcW w:type="dxa" w:w="1440"/>
          </w:tcPr>
          <w:p>
            <w:r>
              <w:rPr>
                <w:rFonts w:ascii="Calibri" w:hAnsi="Calibri"/>
                <w:sz w:val="22"/>
              </w:rPr>
              <w:t>+3.6%</w:t>
            </w:r>
          </w:p>
        </w:tc>
        <w:tc>
          <w:tcPr>
            <w:tcW w:type="dxa" w:w="1440"/>
          </w:tcPr>
          <w:p>
            <w:r>
              <w:rPr>
                <w:rFonts w:ascii="Calibri" w:hAnsi="Calibri"/>
                <w:sz w:val="22"/>
              </w:rPr>
              <w:t>Modest multiple re-expansion; estimates flat</w:t>
            </w:r>
          </w:p>
        </w:tc>
      </w:tr>
      <w:tr>
        <w:tc>
          <w:tcPr>
            <w:tcW w:type="dxa" w:w="1440"/>
          </w:tcPr>
          <w:p>
            <w:r>
              <w:rPr>
                <w:rFonts w:ascii="Calibri" w:hAnsi="Calibri"/>
                <w:sz w:val="22"/>
              </w:rPr>
              <w:t>6 Months</w:t>
            </w:r>
          </w:p>
        </w:tc>
        <w:tc>
          <w:tcPr>
            <w:tcW w:type="dxa" w:w="1440"/>
          </w:tcPr>
          <w:p>
            <w:r>
              <w:rPr>
                <w:rFonts w:ascii="Calibri" w:hAnsi="Calibri"/>
                <w:sz w:val="22"/>
              </w:rPr>
              <w:t>−10.1%</w:t>
            </w:r>
          </w:p>
        </w:tc>
        <w:tc>
          <w:tcPr>
            <w:tcW w:type="dxa" w:w="1440"/>
          </w:tcPr>
          <w:p>
            <w:r>
              <w:rPr>
                <w:rFonts w:ascii="Calibri" w:hAnsi="Calibri"/>
                <w:sz w:val="22"/>
              </w:rPr>
              <w:t>11.29x</w:t>
            </w:r>
          </w:p>
        </w:tc>
        <w:tc>
          <w:tcPr>
            <w:tcW w:type="dxa" w:w="1440"/>
          </w:tcPr>
          <w:p>
            <w:r>
              <w:rPr>
                <w:rFonts w:ascii="Calibri" w:hAnsi="Calibri"/>
                <w:sz w:val="22"/>
              </w:rPr>
              <w:t>11.14x</w:t>
            </w:r>
          </w:p>
        </w:tc>
        <w:tc>
          <w:tcPr>
            <w:tcW w:type="dxa" w:w="1440"/>
          </w:tcPr>
          <w:p>
            <w:r>
              <w:rPr>
                <w:rFonts w:ascii="Calibri" w:hAnsi="Calibri"/>
                <w:sz w:val="22"/>
              </w:rPr>
              <w:t>−1.3%</w:t>
            </w:r>
          </w:p>
        </w:tc>
        <w:tc>
          <w:tcPr>
            <w:tcW w:type="dxa" w:w="1440"/>
          </w:tcPr>
          <w:p>
            <w:r>
              <w:rPr>
                <w:rFonts w:ascii="Calibri" w:hAnsi="Calibri"/>
                <w:sz w:val="22"/>
              </w:rPr>
              <w:t>Multiple contraction + flat estimates = price decline</w:t>
            </w:r>
          </w:p>
        </w:tc>
      </w:tr>
      <w:tr>
        <w:tc>
          <w:tcPr>
            <w:tcW w:type="dxa" w:w="1440"/>
          </w:tcPr>
          <w:p>
            <w:r>
              <w:rPr>
                <w:rFonts w:ascii="Calibri" w:hAnsi="Calibri"/>
                <w:sz w:val="22"/>
              </w:rPr>
              <w:t>12 Months</w:t>
            </w:r>
          </w:p>
        </w:tc>
        <w:tc>
          <w:tcPr>
            <w:tcW w:type="dxa" w:w="1440"/>
          </w:tcPr>
          <w:p>
            <w:r>
              <w:rPr>
                <w:rFonts w:ascii="Calibri" w:hAnsi="Calibri"/>
                <w:sz w:val="22"/>
              </w:rPr>
              <w:t>+10.0%</w:t>
            </w:r>
          </w:p>
        </w:tc>
        <w:tc>
          <w:tcPr>
            <w:tcW w:type="dxa" w:w="1440"/>
          </w:tcPr>
          <w:p>
            <w:r>
              <w:rPr>
                <w:rFonts w:ascii="Calibri" w:hAnsi="Calibri"/>
                <w:sz w:val="22"/>
              </w:rPr>
              <w:t>9.48x</w:t>
            </w:r>
          </w:p>
        </w:tc>
        <w:tc>
          <w:tcPr>
            <w:tcW w:type="dxa" w:w="1440"/>
          </w:tcPr>
          <w:p>
            <w:r>
              <w:rPr>
                <w:rFonts w:ascii="Calibri" w:hAnsi="Calibri"/>
                <w:sz w:val="22"/>
              </w:rPr>
              <w:t>11.14x</w:t>
            </w:r>
          </w:p>
        </w:tc>
        <w:tc>
          <w:tcPr>
            <w:tcW w:type="dxa" w:w="1440"/>
          </w:tcPr>
          <w:p>
            <w:r>
              <w:rPr>
                <w:rFonts w:ascii="Calibri" w:hAnsi="Calibri"/>
                <w:sz w:val="22"/>
              </w:rPr>
              <w:t>+17.5%</w:t>
            </w:r>
          </w:p>
        </w:tc>
        <w:tc>
          <w:tcPr>
            <w:tcW w:type="dxa" w:w="1440"/>
          </w:tcPr>
          <w:p>
            <w:r>
              <w:rPr>
                <w:rFonts w:ascii="Calibri" w:hAnsi="Calibri"/>
                <w:sz w:val="22"/>
              </w:rPr>
              <w:t>Multiple expansion drove all of the 12M gain</w:t>
            </w:r>
          </w:p>
        </w:tc>
      </w:tr>
    </w:tbl>
    <w:p>
      <w:r>
        <w:rPr>
          <w:rFonts w:ascii="Calibri" w:hAnsi="Calibri"/>
          <w:i/>
          <w:color w:val="525866"/>
          <w:sz w:val="22"/>
        </w:rPr>
        <w:t>Source: Implied Platform — Stock Performance Decomposition (NTM EV/EBITDA). Current NTM EV/EBITDA: 11.14x. Current NTM P/E: 12.80x.</w:t>
      </w:r>
    </w:p>
    <w:p>
      <w:r>
        <w:rPr>
          <w:rFonts w:ascii="Calibri" w:hAnsi="Calibri"/>
          <w:b/>
          <w:color w:val="525866"/>
          <w:sz w:val="22"/>
        </w:rPr>
        <w:t xml:space="preserve">Note: </w:t>
      </w:r>
      <w:r>
        <w:rPr>
          <w:rFonts w:ascii="Calibri" w:hAnsi="Calibri"/>
          <w:color w:val="525866"/>
          <w:sz w:val="22"/>
        </w:rPr>
        <w:t>The appropriate sector ETF for DHI is the PHLX Housing Sector (HGX) or iShares U.S. Home Construction ETF (ITB), which tracks the residential construction sub-sector. A stock price chart (DHI vs. ITB vs. S&amp;P 500, indexed to 100 at April 21, 2026 last earnings date) would be embedded here in the full Word document. Key events to mark: April 21, 2026 (Q2 FY2026 earnings); May 12, 2026 (DHI Mortgage repurchase facility amendment).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post-earnings development is the macro backdrop deterioration flagged by peers — a fresh inflation spike (May CPI 4.2% YoY), mortgage rates stubbornly in the mid-to-upper 6% range, and cautious consumer sentiment — which creates risk that DHI's Q3 incentive assumption of "stable vs. Q2" proves optimistic. No company-specific negative catalysts have emerged since the April 21 print.</w:t>
      </w:r>
    </w:p>
    <w:p>
      <w:pPr>
        <w:pStyle w:val="ListBullet"/>
        <w:ind w:left="360" w:hanging="360"/>
      </w:pPr>
      <w:r>
        <w:rPr>
          <w:rFonts w:ascii="Calibri" w:hAnsi="Calibri"/>
          <w:b/>
          <w:color w:val="525866"/>
          <w:sz w:val="22"/>
        </w:rPr>
        <w:t>April 21, 2026 — DHI Q2 FY2026 Earnings (Last Print):</w:t>
      </w:r>
      <w:r>
        <w:rPr>
          <w:rFonts w:ascii="Calibri" w:hAnsi="Calibri"/>
          <w:color w:val="525866"/>
          <w:sz w:val="22"/>
        </w:rPr>
        <w:t xml:space="preserve"> Beat on EPS and net new orders (orders +11% YoY, significantly above consensus); revenue slightly light; normalized gross margin slightly above guided range; completed unsold inventory down 35% YoY to lowest since FY2023. Full-year revenue guidance top end trimmed. </w:t>
      </w:r>
      <w:r>
        <w:rPr>
          <w:rFonts w:ascii="Calibri" w:hAnsi="Calibri"/>
          <w:i/>
          <w:color w:val="525866"/>
          <w:sz w:val="22"/>
        </w:rPr>
        <w:t>Implication:</w:t>
      </w:r>
      <w:r>
        <w:rPr>
          <w:rFonts w:ascii="Calibri" w:hAnsi="Calibri"/>
          <w:color w:val="525866"/>
          <w:sz w:val="22"/>
        </w:rPr>
        <w:t xml:space="preserve"> Sets a higher bar for Q3 orders but provides confidence on inventory discipline.</w:t>
      </w:r>
    </w:p>
    <w:p>
      <w:pPr>
        <w:pStyle w:val="ListBullet"/>
        <w:ind w:left="360" w:hanging="360"/>
      </w:pPr>
      <w:r>
        <w:rPr>
          <w:rFonts w:ascii="Calibri" w:hAnsi="Calibri"/>
          <w:b/>
          <w:color w:val="525866"/>
          <w:sz w:val="22"/>
        </w:rPr>
        <w:t>May 12, 2026 — DHI Mortgage Repurchase Facility Amendment (8-K):</w:t>
      </w:r>
      <w:r>
        <w:rPr>
          <w:rFonts w:ascii="Calibri" w:hAnsi="Calibri"/>
          <w:color w:val="525866"/>
          <w:sz w:val="22"/>
        </w:rPr>
        <w:t xml:space="preserve"> DHI Mortgage amended its repurchase facility, boosting the commitment to $1.925 billion. </w:t>
      </w:r>
      <w:r>
        <w:rPr>
          <w:rFonts w:ascii="Calibri" w:hAnsi="Calibri"/>
          <w:i/>
          <w:color w:val="525866"/>
          <w:sz w:val="22"/>
        </w:rPr>
        <w:t>Implication:</w:t>
      </w:r>
      <w:r>
        <w:rPr>
          <w:rFonts w:ascii="Calibri" w:hAnsi="Calibri"/>
          <w:color w:val="525866"/>
          <w:sz w:val="22"/>
        </w:rPr>
        <w:t xml:space="preserve"> Routine balance-sheet management; signals continued confidence in mortgage origination volumes. No guidance impact.</w:t>
      </w:r>
    </w:p>
    <w:p>
      <w:pPr>
        <w:pStyle w:val="ListBullet"/>
        <w:ind w:left="360" w:hanging="360"/>
      </w:pPr>
      <w:r>
        <w:rPr>
          <w:rFonts w:ascii="Calibri" w:hAnsi="Calibri"/>
          <w:b/>
          <w:color w:val="525866"/>
          <w:sz w:val="22"/>
        </w:rPr>
        <w:t>May 19, 2026 — Q3 FY2026 Earnings Date Announcement:</w:t>
      </w:r>
      <w:r>
        <w:rPr>
          <w:rFonts w:ascii="Calibri" w:hAnsi="Calibri"/>
          <w:color w:val="525866"/>
          <w:sz w:val="22"/>
        </w:rPr>
        <w:t xml:space="preserve"> DHI confirmed July 21, 2026 as the Q3 FY2026 earnings release date. No incremental guidance provided.</w:t>
      </w:r>
    </w:p>
    <w:p>
      <w:pPr>
        <w:pStyle w:val="ListBullet"/>
        <w:ind w:left="360" w:hanging="360"/>
      </w:pPr>
      <w:r>
        <w:rPr>
          <w:rFonts w:ascii="Calibri" w:hAnsi="Calibri"/>
          <w:b/>
          <w:color w:val="525866"/>
          <w:sz w:val="22"/>
        </w:rPr>
        <w:t>June 12, 2026 — Lennar (LEN) Q2 FY2026 Earnings Call (Peer Read-Through):</w:t>
      </w:r>
      <w:r>
        <w:rPr>
          <w:rFonts w:ascii="Calibri" w:hAnsi="Calibri"/>
          <w:color w:val="525866"/>
          <w:sz w:val="22"/>
        </w:rPr>
        <w:t xml:space="preserve"> Lennar flagged mortgage rates "stubbornly elevated" in the mid-to-upper 6% range, a fresh May CPI spike to 4.2% YoY (highest since early 2023), and buyer urgency described as "measured and deliberate." Lennar cut its annual delivery guidance to 82,000–83,000 homes. </w:t>
      </w:r>
      <w:r>
        <w:rPr>
          <w:rFonts w:ascii="Calibri" w:hAnsi="Calibri"/>
          <w:i/>
          <w:color w:val="525866"/>
          <w:sz w:val="22"/>
        </w:rPr>
        <w:t>Implication for DHI:</w:t>
      </w:r>
      <w:r>
        <w:rPr>
          <w:rFonts w:ascii="Calibri" w:hAnsi="Calibri"/>
          <w:color w:val="525866"/>
          <w:sz w:val="22"/>
        </w:rPr>
        <w:t xml:space="preserve"> Directional read-through suggesting the macro environment may have been more challenging than DHI's April guidance assumed; incentive stability assumption is at risk.</w:t>
      </w:r>
    </w:p>
    <w:p>
      <w:pPr>
        <w:pStyle w:val="ListBullet"/>
        <w:ind w:left="360" w:hanging="360"/>
      </w:pPr>
      <w:r>
        <w:rPr>
          <w:rFonts w:ascii="Calibri" w:hAnsi="Calibri"/>
          <w:b/>
          <w:color w:val="525866"/>
          <w:sz w:val="22"/>
        </w:rPr>
        <w:t>June 23, 2026 — KB Home (KBH) Q2 FY2026 Earnings Call (Peer Read-Through):</w:t>
      </w:r>
      <w:r>
        <w:rPr>
          <w:rFonts w:ascii="Calibri" w:hAnsi="Calibri"/>
          <w:color w:val="525866"/>
          <w:sz w:val="22"/>
        </w:rPr>
        <w:t xml:space="preserve"> KBH reported sales in March were sequentially softer (Middle East conflict + rising rates), rebounding in April/May; June order pace described as "steady and in line with expectations." Gross margin guided to improve sequentially in Q3 (16.0%–16.6%). </w:t>
      </w:r>
      <w:r>
        <w:rPr>
          <w:rFonts w:ascii="Calibri" w:hAnsi="Calibri"/>
          <w:i/>
          <w:color w:val="525866"/>
          <w:sz w:val="22"/>
        </w:rPr>
        <w:t>Implication for DHI:</w:t>
      </w:r>
      <w:r>
        <w:rPr>
          <w:rFonts w:ascii="Calibri" w:hAnsi="Calibri"/>
          <w:color w:val="525866"/>
          <w:sz w:val="22"/>
        </w:rPr>
        <w:t xml:space="preserve"> Directional read-through suggesting demand stabilized after a soft March patch; June cadence constructive heading into DHI's Q3 close.</w:t>
      </w:r>
    </w:p>
    <w:p>
      <w:pPr>
        <w:pStyle w:val="ListBullet"/>
        <w:ind w:left="360" w:hanging="360"/>
      </w:pPr>
      <w:r>
        <w:rPr>
          <w:rFonts w:ascii="Calibri" w:hAnsi="Calibri"/>
          <w:b/>
          <w:color w:val="525866"/>
          <w:sz w:val="22"/>
        </w:rPr>
        <w:t>Ongoing — Macro: Mortgage Rates &amp; Affordability:</w:t>
      </w:r>
      <w:r>
        <w:rPr>
          <w:rFonts w:ascii="Calibri" w:hAnsi="Calibri"/>
          <w:color w:val="525866"/>
          <w:sz w:val="22"/>
        </w:rPr>
        <w:t xml:space="preserve"> The 30-year fixed rate has remained in the 6.4%–6.5% range (per LEN commentary), keeping affordability challenged. At 6.5%, the median-income buyer spends above 30% of gross income on housing. </w:t>
      </w:r>
      <w:r>
        <w:rPr>
          <w:rFonts w:ascii="Calibri" w:hAnsi="Calibri"/>
          <w:i/>
          <w:color w:val="525866"/>
          <w:sz w:val="22"/>
        </w:rPr>
        <w:t>Implication:</w:t>
      </w:r>
      <w:r>
        <w:rPr>
          <w:rFonts w:ascii="Calibri" w:hAnsi="Calibri"/>
          <w:color w:val="525866"/>
          <w:sz w:val="22"/>
        </w:rPr>
        <w:t xml:space="preserve"> Sustained pressure on DHI's incentive levels and ASP trajectory; validates management's assumption that ASP will not recover in H2 FY2026.</w:t>
      </w:r>
    </w:p>
    <w:p>
      <w:pPr>
        <w:pStyle w:val="ListBullet"/>
        <w:ind w:left="360" w:hanging="360"/>
      </w:pPr>
      <w:r>
        <w:rPr>
          <w:rFonts w:ascii="Calibri" w:hAnsi="Calibri"/>
          <w:b/>
          <w:color w:val="525866"/>
          <w:sz w:val="22"/>
        </w:rPr>
        <w:t>Ongoing — Build-for-Rent (BFR) Legislative Risk:</w:t>
      </w:r>
      <w:r>
        <w:rPr>
          <w:rFonts w:ascii="Calibri" w:hAnsi="Calibri"/>
          <w:color w:val="525866"/>
          <w:sz w:val="22"/>
        </w:rPr>
        <w:t xml:space="preserve"> Pending legislation at state and federal levels targeting institutional/investor purchases of single-family homes continues to create uncertainty. DHI management noted BFR communities are underwritten as for-sale and that forward sales (contract-first starts) limit exposure. </w:t>
      </w:r>
      <w:r>
        <w:rPr>
          <w:rFonts w:ascii="Calibri" w:hAnsi="Calibri"/>
          <w:i/>
          <w:color w:val="525866"/>
          <w:sz w:val="22"/>
        </w:rPr>
        <w:t>Implication:</w:t>
      </w:r>
      <w:r>
        <w:rPr>
          <w:rFonts w:ascii="Calibri" w:hAnsi="Calibri"/>
          <w:color w:val="525866"/>
          <w:sz w:val="22"/>
        </w:rPr>
        <w:t xml:space="preserve"> A modest headwind to demand from institutional buyers; management has proactively de-risked but legislative outcomes remain uncertain.</w:t>
      </w:r>
    </w:p>
    <w:p>
      <w:pPr>
        <w:pStyle w:val="ListBullet"/>
        <w:ind w:left="360" w:hanging="360"/>
      </w:pPr>
      <w:r>
        <w:rPr>
          <w:rFonts w:ascii="Calibri" w:hAnsi="Calibri"/>
          <w:b/>
          <w:color w:val="525866"/>
          <w:sz w:val="22"/>
        </w:rPr>
        <w:t>Ongoing — Construction Cost Tailwind:</w:t>
      </w:r>
      <w:r>
        <w:rPr>
          <w:rFonts w:ascii="Calibri" w:hAnsi="Calibri"/>
          <w:color w:val="525866"/>
          <w:sz w:val="22"/>
        </w:rPr>
        <w:t xml:space="preserve"> DHI management guided for incremental stick-and-brick cost savings in Q3 and Q4, with cycle time improvements of nearly one month YoY. Lennar reported construction costs per square foot down 7% YoY and a record cycle time of 121 days. </w:t>
      </w:r>
      <w:r>
        <w:rPr>
          <w:rFonts w:ascii="Calibri" w:hAnsi="Calibri"/>
          <w:i/>
          <w:color w:val="525866"/>
          <w:sz w:val="22"/>
        </w:rPr>
        <w:t>Implication:</w:t>
      </w:r>
      <w:r>
        <w:rPr>
          <w:rFonts w:ascii="Calibri" w:hAnsi="Calibri"/>
          <w:color w:val="525866"/>
          <w:sz w:val="22"/>
        </w:rPr>
        <w:t xml:space="preserve"> Supports DHI's gross margin guidance; the cost savings trajectory is a key offset to elevated incentives.</w:t>
      </w:r>
    </w:p>
    <w:p>
      <w:r>
        <w:br w:type="page"/>
      </w:r>
    </w:p>
    <w:p>
      <w:pPr>
        <w:pStyle w:val="Heading2"/>
      </w:pPr>
      <w:r>
        <w:rPr>
          <w:rFonts w:ascii="Calibri" w:hAnsi="Calibri"/>
          <w:b/>
          <w:color w:val="3B4259"/>
          <w:sz w:val="28"/>
        </w:rPr>
        <w:t>7. Peer Commentary Read-Through</w:t>
      </w:r>
    </w:p>
    <w:p>
      <w:r>
        <w:rPr>
          <w:rFonts w:ascii="Calibri" w:hAnsi="Calibri"/>
          <w:b/>
          <w:color w:val="525866"/>
          <w:sz w:val="22"/>
        </w:rPr>
        <w:t xml:space="preserve">Key Takeaway: </w:t>
      </w:r>
      <w:r>
        <w:rPr>
          <w:rFonts w:ascii="Calibri" w:hAnsi="Calibri"/>
          <w:color w:val="525866"/>
          <w:sz w:val="22"/>
        </w:rPr>
        <w:t xml:space="preserve">Peer commentary from Lennar (June 12) and KB Home (June 23) — both reporting their quarters that overlap with DHI's fiscal Q3 (April–June 2026) — paints a picture of a </w:t>
      </w:r>
      <w:r>
        <w:rPr>
          <w:rFonts w:ascii="Calibri" w:hAnsi="Calibri"/>
          <w:b/>
          <w:color w:val="525866"/>
          <w:sz w:val="22"/>
        </w:rPr>
        <w:t>resilient but not accelerating</w:t>
      </w:r>
      <w:r>
        <w:rPr>
          <w:rFonts w:ascii="Calibri" w:hAnsi="Calibri"/>
          <w:color w:val="525866"/>
          <w:sz w:val="22"/>
        </w:rPr>
        <w:t xml:space="preserve"> demand environment: incentives may have peaked or are stabilizing, construction costs are improving, but macro headwinds (rates, inflation, consumer confidence) kept buyer urgency measured. These are </w:t>
      </w:r>
      <w:r>
        <w:rPr>
          <w:rFonts w:ascii="Calibri" w:hAnsi="Calibri"/>
          <w:b/>
          <w:color w:val="525866"/>
          <w:sz w:val="22"/>
        </w:rPr>
        <w:t>directional read-throughs only</w:t>
      </w:r>
      <w:r>
        <w:rPr>
          <w:rFonts w:ascii="Calibri" w:hAnsi="Calibri"/>
          <w:color w:val="525866"/>
          <w:sz w:val="22"/>
        </w:rPr>
        <w:t xml:space="preserve"> and should not be treated as direct forecasts for DHI's results.</w:t>
      </w:r>
    </w:p>
    <w:p>
      <w:r>
        <w:rPr>
          <w:rFonts w:ascii="Calibri" w:hAnsi="Calibri"/>
          <w:b/>
          <w:i/>
          <w:color w:val="525866"/>
          <w:sz w:val="22"/>
        </w:rPr>
        <w:t xml:space="preserve">Scope note: </w:t>
      </w:r>
      <w:r>
        <w:rPr>
          <w:rFonts w:ascii="Calibri" w:hAnsi="Calibri"/>
          <w:i/>
          <w:color w:val="525866"/>
          <w:sz w:val="22"/>
        </w:rPr>
        <w:t>Only peer commentary publicly issued between May 21, 2026 and July 20, 2026 that explicitly addresses the then-current reporting quarter (April–June 2026) or post-last-earnings current-quarter demand/outlook is included below. Backward-looking peer result commentary (e.g., peers discussing their own prior-quarter results without forward read-through) is excluded.</w:t>
      </w:r>
    </w:p>
    <w:p>
      <w:pPr>
        <w:pStyle w:val="Heading3"/>
      </w:pPr>
      <w:r>
        <w:rPr>
          <w:rFonts w:ascii="Calibri" w:hAnsi="Calibri"/>
          <w:b/>
          <w:color w:val="3B4259"/>
          <w:sz w:val="24"/>
        </w:rPr>
        <w:t>Lennar Corporation (LEN) — Q2 FY2026 Earnings Call, June 12, 2026</w:t>
      </w:r>
    </w:p>
    <w:p>
      <w:r>
        <w:rPr>
          <w:rFonts w:ascii="Calibri" w:hAnsi="Calibri"/>
          <w:b/>
          <w:color w:val="525866"/>
          <w:sz w:val="22"/>
        </w:rPr>
        <w:t xml:space="preserve">Reporting period: </w:t>
      </w:r>
      <w:r>
        <w:rPr>
          <w:rFonts w:ascii="Calibri" w:hAnsi="Calibri"/>
          <w:color w:val="525866"/>
          <w:sz w:val="22"/>
        </w:rPr>
        <w:t xml:space="preserve">LEN's fiscal Q2 ended May 31, 2026 (calendar April–May 2026), overlapping with the first two months of DHI's fiscal Q3 (April–June 2026). LEN's forward guidance covers the June–August 2026 period. All observations below are </w:t>
      </w:r>
      <w:r>
        <w:rPr>
          <w:rFonts w:ascii="Calibri" w:hAnsi="Calibri"/>
          <w:b/>
          <w:i/>
          <w:color w:val="525866"/>
          <w:sz w:val="22"/>
        </w:rPr>
        <w:t>directional read-throughs for DHI, not direct forecasts.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LEN Commentary (June 12, 2026)</w:t>
            </w:r>
          </w:p>
        </w:tc>
        <w:tc>
          <w:tcPr>
            <w:tcW w:type="dxa" w:w="2880"/>
            <w:shd w:val="clear" w:color="auto" w:fill="3B4259"/>
          </w:tcPr>
          <w:p>
            <w:r>
              <w:rPr>
                <w:rFonts w:ascii="Calibri" w:hAnsi="Calibri"/>
                <w:b/>
                <w:color w:val="FFFFFF"/>
                <w:sz w:val="22"/>
              </w:rPr>
              <w:t>DHI Read-Through</w:t>
            </w:r>
          </w:p>
        </w:tc>
      </w:tr>
      <w:tr>
        <w:tc>
          <w:tcPr>
            <w:tcW w:type="dxa" w:w="2880"/>
          </w:tcPr>
          <w:p>
            <w:r>
              <w:rPr>
                <w:rFonts w:ascii="Calibri" w:hAnsi="Calibri"/>
                <w:sz w:val="22"/>
              </w:rPr>
              <w:t>Mortgage Rates &amp; Affordability</w:t>
            </w:r>
          </w:p>
        </w:tc>
        <w:tc>
          <w:tcPr>
            <w:tcW w:type="dxa" w:w="2880"/>
          </w:tcPr>
          <w:p>
            <w:r>
              <w:rPr>
                <w:rFonts w:ascii="Calibri" w:hAnsi="Calibri"/>
                <w:sz w:val="22"/>
              </w:rPr>
              <w:t>"Mortgage interest rates have remained stubbornly elevated in the mid to upper 6% range throughout our second quarter." 30-year fixed at 6.4%–6.5% today; buyer at median income spending above 30% of gross income on housing.</w:t>
            </w:r>
          </w:p>
        </w:tc>
        <w:tc>
          <w:tcPr>
            <w:tcW w:type="dxa" w:w="2880"/>
          </w:tcPr>
          <w:p>
            <w:r>
              <w:rPr>
                <w:rFonts w:ascii="Calibri" w:hAnsi="Calibri"/>
                <w:sz w:val="22"/>
              </w:rPr>
              <w:t>Validates DHI's assumption that ASP will not recover in H2 FY2026 and that incentives will remain elevated. Consistent with DHI's April guidance framework.</w:t>
            </w:r>
          </w:p>
        </w:tc>
      </w:tr>
      <w:tr>
        <w:tc>
          <w:tcPr>
            <w:tcW w:type="dxa" w:w="2880"/>
          </w:tcPr>
          <w:p>
            <w:r>
              <w:rPr>
                <w:rFonts w:ascii="Calibri" w:hAnsi="Calibri"/>
                <w:sz w:val="22"/>
              </w:rPr>
              <w:t>Inflation Spike</w:t>
            </w:r>
          </w:p>
        </w:tc>
        <w:tc>
          <w:tcPr>
            <w:tcW w:type="dxa" w:w="2880"/>
          </w:tcPr>
          <w:p>
            <w:r>
              <w:rPr>
                <w:rFonts w:ascii="Calibri" w:hAnsi="Calibri"/>
                <w:sz w:val="22"/>
              </w:rPr>
              <w:t>May CPI at 4.2% YoY (highest since early 2023), driven by energy (gasoline +40% YoY due to Iran conflict). Core CPI at 2.9% and decelerating monthly. Fed funds rate at 3.5%–3.75%; no near-term cut expected.</w:t>
            </w:r>
          </w:p>
        </w:tc>
        <w:tc>
          <w:tcPr>
            <w:tcW w:type="dxa" w:w="2880"/>
          </w:tcPr>
          <w:p>
            <w:r>
              <w:rPr>
                <w:rFonts w:ascii="Calibri" w:hAnsi="Calibri"/>
                <w:sz w:val="22"/>
              </w:rPr>
              <w:t>A fresh inflation spike in May could have weighed on consumer confidence and buyer urgency during DHI's Q3 close. Risk that incentive levels crept above DHI's "stable vs. Q2" assumption.</w:t>
            </w:r>
          </w:p>
        </w:tc>
      </w:tr>
      <w:tr>
        <w:tc>
          <w:tcPr>
            <w:tcW w:type="dxa" w:w="2880"/>
          </w:tcPr>
          <w:p>
            <w:r>
              <w:rPr>
                <w:rFonts w:ascii="Calibri" w:hAnsi="Calibri"/>
                <w:sz w:val="22"/>
              </w:rPr>
              <w:t>Buyer Urgency / Traffic</w:t>
            </w:r>
          </w:p>
        </w:tc>
        <w:tc>
          <w:tcPr>
            <w:tcW w:type="dxa" w:w="2880"/>
          </w:tcPr>
          <w:p>
            <w:r>
              <w:rPr>
                <w:rFonts w:ascii="Calibri" w:hAnsi="Calibri"/>
                <w:sz w:val="22"/>
              </w:rPr>
              <w:t>"Traffic is inconsistent, intent is high, but urgency to close is still measured and deliberate rather than confident and energized." Underlying demand real and growing; supply structurally short.</w:t>
            </w:r>
          </w:p>
        </w:tc>
        <w:tc>
          <w:tcPr>
            <w:tcW w:type="dxa" w:w="2880"/>
          </w:tcPr>
          <w:p>
            <w:r>
              <w:rPr>
                <w:rFonts w:ascii="Calibri" w:hAnsi="Calibri"/>
                <w:sz w:val="22"/>
              </w:rPr>
              <w:t>Suggests DHI's Q3 orders may have been solid but not spectacular; the strong Q2 orders beat (24,992 vs. 23,577 consensus) may be difficult to replicate at the same magnitude.</w:t>
            </w:r>
          </w:p>
        </w:tc>
      </w:tr>
      <w:tr>
        <w:tc>
          <w:tcPr>
            <w:tcW w:type="dxa" w:w="2880"/>
          </w:tcPr>
          <w:p>
            <w:r>
              <w:rPr>
                <w:rFonts w:ascii="Calibri" w:hAnsi="Calibri"/>
                <w:sz w:val="22"/>
              </w:rPr>
              <w:t>Incentive Trends</w:t>
            </w:r>
          </w:p>
        </w:tc>
        <w:tc>
          <w:tcPr>
            <w:tcW w:type="dxa" w:w="2880"/>
          </w:tcPr>
          <w:p>
            <w:r>
              <w:rPr>
                <w:rFonts w:ascii="Calibri" w:hAnsi="Calibri"/>
                <w:sz w:val="22"/>
              </w:rPr>
              <w:t>LEN's sales incentive rate on deliveries fell to 12.9% in Q2 from 14.1% in Q1 — described as "the first real and potentially sustainable decline" after three years of increases. "Starting to look like a trend."</w:t>
            </w:r>
          </w:p>
        </w:tc>
        <w:tc>
          <w:tcPr>
            <w:tcW w:type="dxa" w:w="2880"/>
          </w:tcPr>
          <w:p>
            <w:r>
              <w:rPr>
                <w:rFonts w:ascii="Calibri" w:hAnsi="Calibri"/>
                <w:sz w:val="22"/>
              </w:rPr>
              <w:t>Constructive read-through: if incentives are peaking industry-wide, DHI's "stable" incentive assumption for Q3 may prove conservative, providing upside to gross margin.</w:t>
            </w:r>
          </w:p>
        </w:tc>
      </w:tr>
      <w:tr>
        <w:tc>
          <w:tcPr>
            <w:tcW w:type="dxa" w:w="2880"/>
          </w:tcPr>
          <w:p>
            <w:r>
              <w:rPr>
                <w:rFonts w:ascii="Calibri" w:hAnsi="Calibri"/>
                <w:sz w:val="22"/>
              </w:rPr>
              <w:t>Construction Costs</w:t>
            </w:r>
          </w:p>
        </w:tc>
        <w:tc>
          <w:tcPr>
            <w:tcW w:type="dxa" w:w="2880"/>
          </w:tcPr>
          <w:p>
            <w:r>
              <w:rPr>
                <w:rFonts w:ascii="Calibri" w:hAnsi="Calibri"/>
                <w:sz w:val="22"/>
              </w:rPr>
              <w:t>Construction costs per square foot improved to $81, down 7% YoY. Record cycle time of 121 days (lowest in history). Lumber pressure offset by trade labor savings.</w:t>
            </w:r>
          </w:p>
        </w:tc>
        <w:tc>
          <w:tcPr>
            <w:tcW w:type="dxa" w:w="2880"/>
          </w:tcPr>
          <w:p>
            <w:r>
              <w:rPr>
                <w:rFonts w:ascii="Calibri" w:hAnsi="Calibri"/>
                <w:sz w:val="22"/>
              </w:rPr>
              <w:t>Supports DHI's expectation of incremental stick-and-brick savings in Q3/Q4. Industry-wide cost improvement trend is intact.</w:t>
            </w:r>
          </w:p>
        </w:tc>
      </w:tr>
      <w:tr>
        <w:tc>
          <w:tcPr>
            <w:tcW w:type="dxa" w:w="2880"/>
          </w:tcPr>
          <w:p>
            <w:r>
              <w:rPr>
                <w:rFonts w:ascii="Calibri" w:hAnsi="Calibri"/>
                <w:sz w:val="22"/>
              </w:rPr>
              <w:t>Annual Delivery Guidance</w:t>
            </w:r>
          </w:p>
        </w:tc>
        <w:tc>
          <w:tcPr>
            <w:tcW w:type="dxa" w:w="2880"/>
          </w:tcPr>
          <w:p>
            <w:r>
              <w:rPr>
                <w:rFonts w:ascii="Calibri" w:hAnsi="Calibri"/>
                <w:sz w:val="22"/>
              </w:rPr>
              <w:t>LEN cut annual delivery guidance to 82,000–83,000 homes, citing "current pressures on interest rates and continued macro uncertainty." Spring selling season "didn't really materialize in force."</w:t>
            </w:r>
          </w:p>
        </w:tc>
        <w:tc>
          <w:tcPr>
            <w:tcW w:type="dxa" w:w="2880"/>
          </w:tcPr>
          <w:p>
            <w:r>
              <w:rPr>
                <w:rFonts w:ascii="Calibri" w:hAnsi="Calibri"/>
                <w:sz w:val="22"/>
              </w:rPr>
              <w:t>Negative read-through: LEN's guidance cut suggests the spring selling season was softer than expected industry-wide. DHI has not pre-announced any guidance change, but the risk of a closings miss vs. the 23,500–24,000 Q3 guide is elevated.</w:t>
            </w:r>
          </w:p>
        </w:tc>
      </w:tr>
      <w:tr>
        <w:tc>
          <w:tcPr>
            <w:tcW w:type="dxa" w:w="2880"/>
          </w:tcPr>
          <w:p>
            <w:r>
              <w:rPr>
                <w:rFonts w:ascii="Calibri" w:hAnsi="Calibri"/>
                <w:sz w:val="22"/>
              </w:rPr>
              <w:t>Q3 FY2026 Outlook (LEN)</w:t>
            </w:r>
          </w:p>
        </w:tc>
        <w:tc>
          <w:tcPr>
            <w:tcW w:type="dxa" w:w="2880"/>
          </w:tcPr>
          <w:p>
            <w:r>
              <w:rPr>
                <w:rFonts w:ascii="Calibri" w:hAnsi="Calibri"/>
                <w:sz w:val="22"/>
              </w:rPr>
              <w:t>LEN guided Q3 new orders of 21,000–22,000; deliveries of 20,500–21,500; gross margin ~16%; sequential margin improvement expected quarter-to-quarter.</w:t>
            </w:r>
          </w:p>
        </w:tc>
        <w:tc>
          <w:tcPr>
            <w:tcW w:type="dxa" w:w="2880"/>
          </w:tcPr>
          <w:p>
            <w:r>
              <w:rPr>
                <w:rFonts w:ascii="Calibri" w:hAnsi="Calibri"/>
                <w:sz w:val="22"/>
              </w:rPr>
              <w:t>LEN's sequential margin improvement guidance is directionally consistent with DHI's Q3 gross margin guide of 19.7%–20.2% (vs. Q2 actual of 19.76%). Both companies expect cost savings to support margins in H2.</w:t>
            </w:r>
          </w:p>
        </w:tc>
      </w:tr>
      <w:tr>
        <w:tc>
          <w:tcPr>
            <w:tcW w:type="dxa" w:w="2880"/>
          </w:tcPr>
          <w:p>
            <w:r>
              <w:rPr>
                <w:rFonts w:ascii="Calibri" w:hAnsi="Calibri"/>
                <w:sz w:val="22"/>
              </w:rPr>
              <w:t>Institutional Buyer / BFR Legislation</w:t>
            </w:r>
          </w:p>
        </w:tc>
        <w:tc>
          <w:tcPr>
            <w:tcW w:type="dxa" w:w="2880"/>
          </w:tcPr>
          <w:p>
            <w:r>
              <w:rPr>
                <w:rFonts w:ascii="Calibri" w:hAnsi="Calibri"/>
                <w:sz w:val="22"/>
              </w:rPr>
              <w:t>"Legislative and regulatory effort at both state and federal levels to contain or constrain institutional and investor purchases of single-family homes" — viewed as a "concerning long-term development for housing."</w:t>
            </w:r>
          </w:p>
        </w:tc>
        <w:tc>
          <w:tcPr>
            <w:tcW w:type="dxa" w:w="2880"/>
          </w:tcPr>
          <w:p>
            <w:r>
              <w:rPr>
                <w:rFonts w:ascii="Calibri" w:hAnsi="Calibri"/>
                <w:sz w:val="22"/>
              </w:rPr>
              <w:t>Consistent with DHI's own commentary on BFR legislative risk. Both companies are managing exposure through contract-first starts and for-sale underwriting.</w:t>
            </w:r>
          </w:p>
        </w:tc>
      </w:tr>
    </w:tbl>
    <w:p>
      <w:r>
        <w:rPr>
          <w:rFonts w:ascii="Calibri" w:hAnsi="Calibri"/>
          <w:i/>
          <w:color w:val="525866"/>
          <w:sz w:val="22"/>
        </w:rPr>
        <w:t>Source: Lennar Corporation Q2 FY2026 Earnings Call Transcript (June 12, 2026); Lennar Q2 FY2026 Earnings Release (June 11, 2026). All observations are directional read-throughs for DHI and should not be treated as direct forecasts.</w:t>
      </w:r>
    </w:p>
    <w:p>
      <w:pPr>
        <w:pStyle w:val="Heading3"/>
      </w:pPr>
      <w:r>
        <w:rPr>
          <w:rFonts w:ascii="Calibri" w:hAnsi="Calibri"/>
          <w:b/>
          <w:color w:val="3B4259"/>
          <w:sz w:val="24"/>
        </w:rPr>
        <w:t>KB Home (KBH) — Q2 FY2026 Earnings Call, June 23, 2026</w:t>
      </w:r>
    </w:p>
    <w:p>
      <w:r>
        <w:rPr>
          <w:rFonts w:ascii="Calibri" w:hAnsi="Calibri"/>
          <w:b/>
          <w:color w:val="525866"/>
          <w:sz w:val="22"/>
        </w:rPr>
        <w:t xml:space="preserve">Reporting period: </w:t>
      </w:r>
      <w:r>
        <w:rPr>
          <w:rFonts w:ascii="Calibri" w:hAnsi="Calibri"/>
          <w:color w:val="525866"/>
          <w:sz w:val="22"/>
        </w:rPr>
        <w:t xml:space="preserve">KBH's fiscal Q2 ended May 31, 2026 (calendar March–May 2026), overlapping with the first two months of DHI's fiscal Q3. KBH's forward guidance and June order commentary covers the period most directly relevant to DHI's Q3 close. All observations below are </w:t>
      </w:r>
      <w:r>
        <w:rPr>
          <w:rFonts w:ascii="Calibri" w:hAnsi="Calibri"/>
          <w:b/>
          <w:i/>
          <w:color w:val="525866"/>
          <w:sz w:val="22"/>
        </w:rPr>
        <w:t>directional read-throughs for DHI, not direct forecasts.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KBH Commentary (June 23, 2026)</w:t>
            </w:r>
          </w:p>
        </w:tc>
        <w:tc>
          <w:tcPr>
            <w:tcW w:type="dxa" w:w="2880"/>
            <w:shd w:val="clear" w:color="auto" w:fill="3B4259"/>
          </w:tcPr>
          <w:p>
            <w:r>
              <w:rPr>
                <w:rFonts w:ascii="Calibri" w:hAnsi="Calibri"/>
                <w:b/>
                <w:color w:val="FFFFFF"/>
                <w:sz w:val="22"/>
              </w:rPr>
              <w:t>DHI Read-Through</w:t>
            </w:r>
          </w:p>
        </w:tc>
      </w:tr>
      <w:tr>
        <w:tc>
          <w:tcPr>
            <w:tcW w:type="dxa" w:w="2880"/>
          </w:tcPr>
          <w:p>
            <w:r>
              <w:rPr>
                <w:rFonts w:ascii="Calibri" w:hAnsi="Calibri"/>
                <w:sz w:val="22"/>
              </w:rPr>
              <w:t>Monthly Order Cadence (Mar–Jun)</w:t>
            </w:r>
          </w:p>
        </w:tc>
        <w:tc>
          <w:tcPr>
            <w:tcW w:type="dxa" w:w="2880"/>
          </w:tcPr>
          <w:p>
            <w:r>
              <w:rPr>
                <w:rFonts w:ascii="Calibri" w:hAnsi="Calibri"/>
                <w:sz w:val="22"/>
              </w:rPr>
              <w:t>March sales sequentially slower (Middle East conflict + rising rates). April/May rebounded on lower rates and pricing adjustments. June order pace "steady and in line with expectations" — "nothing in the cadence through June has given us any cause for concern."</w:t>
            </w:r>
          </w:p>
        </w:tc>
        <w:tc>
          <w:tcPr>
            <w:tcW w:type="dxa" w:w="2880"/>
          </w:tcPr>
          <w:p>
            <w:r>
              <w:rPr>
                <w:rFonts w:ascii="Calibri" w:hAnsi="Calibri"/>
                <w:sz w:val="22"/>
              </w:rPr>
              <w:t>Most directly relevant to DHI's Q3 (Apr–Jun 2026). June commentary is constructive — suggests DHI's Q3 orders may have closed the quarter on solid footing after a potentially soft March.</w:t>
            </w:r>
          </w:p>
        </w:tc>
      </w:tr>
      <w:tr>
        <w:tc>
          <w:tcPr>
            <w:tcW w:type="dxa" w:w="2880"/>
          </w:tcPr>
          <w:p>
            <w:r>
              <w:rPr>
                <w:rFonts w:ascii="Calibri" w:hAnsi="Calibri"/>
                <w:sz w:val="22"/>
              </w:rPr>
              <w:t>Incentives / Pricing</w:t>
            </w:r>
          </w:p>
        </w:tc>
        <w:tc>
          <w:tcPr>
            <w:tcW w:type="dxa" w:w="2880"/>
          </w:tcPr>
          <w:p>
            <w:r>
              <w:rPr>
                <w:rFonts w:ascii="Calibri" w:hAnsi="Calibri"/>
                <w:sz w:val="22"/>
              </w:rPr>
              <w:t>BTO homes "do not require heavy incentives to sell." Pricing adjustments made in certain communities to capture market share. Gross margin guided to improve sequentially to 16.0%–16.6% in Q3 (from 15.7% in Q2).</w:t>
            </w:r>
          </w:p>
        </w:tc>
        <w:tc>
          <w:tcPr>
            <w:tcW w:type="dxa" w:w="2880"/>
          </w:tcPr>
          <w:p>
            <w:r>
              <w:rPr>
                <w:rFonts w:ascii="Calibri" w:hAnsi="Calibri"/>
                <w:sz w:val="22"/>
              </w:rPr>
              <w:t>KBH's sequential margin improvement guidance is consistent with DHI's own Q3 margin guide. Suggests the industry is past peak incentive pressure, supporting DHI's "stable incentives" assumption.</w:t>
            </w:r>
          </w:p>
        </w:tc>
      </w:tr>
      <w:tr>
        <w:tc>
          <w:tcPr>
            <w:tcW w:type="dxa" w:w="2880"/>
          </w:tcPr>
          <w:p>
            <w:r>
              <w:rPr>
                <w:rFonts w:ascii="Calibri" w:hAnsi="Calibri"/>
                <w:sz w:val="22"/>
              </w:rPr>
              <w:t>Consumer Confidence / Traffic</w:t>
            </w:r>
          </w:p>
        </w:tc>
        <w:tc>
          <w:tcPr>
            <w:tcW w:type="dxa" w:w="2880"/>
          </w:tcPr>
          <w:p>
            <w:r>
              <w:rPr>
                <w:rFonts w:ascii="Calibri" w:hAnsi="Calibri"/>
                <w:sz w:val="22"/>
              </w:rPr>
              <w:t>"Healthy level of traffic" but "less than optimal conversion" as many consumers "lack the confidence to purchase." Cancellation rate stable, reflecting "high quality, committed buyers who can close."</w:t>
            </w:r>
          </w:p>
        </w:tc>
        <w:tc>
          <w:tcPr>
            <w:tcW w:type="dxa" w:w="2880"/>
          </w:tcPr>
          <w:p>
            <w:r>
              <w:rPr>
                <w:rFonts w:ascii="Calibri" w:hAnsi="Calibri"/>
                <w:sz w:val="22"/>
              </w:rPr>
              <w:t>Consistent with DHI's Q2 commentary on stable cancellation rates. Suggests demand quality is intact even if conversion is measured.</w:t>
            </w:r>
          </w:p>
        </w:tc>
      </w:tr>
      <w:tr>
        <w:tc>
          <w:tcPr>
            <w:tcW w:type="dxa" w:w="2880"/>
          </w:tcPr>
          <w:p>
            <w:r>
              <w:rPr>
                <w:rFonts w:ascii="Calibri" w:hAnsi="Calibri"/>
                <w:sz w:val="22"/>
              </w:rPr>
              <w:t>Construction Costs / Cycle Time</w:t>
            </w:r>
          </w:p>
        </w:tc>
        <w:tc>
          <w:tcPr>
            <w:tcW w:type="dxa" w:w="2880"/>
          </w:tcPr>
          <w:p>
            <w:r>
              <w:rPr>
                <w:rFonts w:ascii="Calibri" w:hAnsi="Calibri"/>
                <w:sz w:val="22"/>
              </w:rPr>
              <w:t>Build times reduced by 8 days sequentially to 100 days (lowest in over a decade). Direct costs improved significantly over 3 years; some divisions down 15%. Lumber pressure offset by trade labor savings.</w:t>
            </w:r>
          </w:p>
        </w:tc>
        <w:tc>
          <w:tcPr>
            <w:tcW w:type="dxa" w:w="2880"/>
          </w:tcPr>
          <w:p>
            <w:r>
              <w:rPr>
                <w:rFonts w:ascii="Calibri" w:hAnsi="Calibri"/>
                <w:sz w:val="22"/>
              </w:rPr>
              <w:t>Supports DHI's cycle time improvement narrative and incremental cost savings guidance for Q3/Q4. Industry-wide efficiency gains are real and ongoing.</w:t>
            </w:r>
          </w:p>
        </w:tc>
      </w:tr>
      <w:tr>
        <w:tc>
          <w:tcPr>
            <w:tcW w:type="dxa" w:w="2880"/>
          </w:tcPr>
          <w:p>
            <w:r>
              <w:rPr>
                <w:rFonts w:ascii="Calibri" w:hAnsi="Calibri"/>
                <w:sz w:val="22"/>
              </w:rPr>
              <w:t>Completed / Spec Inventory</w:t>
            </w:r>
          </w:p>
        </w:tc>
        <w:tc>
          <w:tcPr>
            <w:tcW w:type="dxa" w:w="2880"/>
          </w:tcPr>
          <w:p>
            <w:r>
              <w:rPr>
                <w:rFonts w:ascii="Calibri" w:hAnsi="Calibri"/>
                <w:sz w:val="22"/>
              </w:rPr>
              <w:t>Finished unsold inventory reduced to 11% of total production in Q2 (from 25% in Q1) after selling through aged inventory. Backlog grew 26% sequentially.</w:t>
            </w:r>
          </w:p>
        </w:tc>
        <w:tc>
          <w:tcPr>
            <w:tcW w:type="dxa" w:w="2880"/>
          </w:tcPr>
          <w:p>
            <w:r>
              <w:rPr>
                <w:rFonts w:ascii="Calibri" w:hAnsi="Calibri"/>
                <w:sz w:val="22"/>
              </w:rPr>
              <w:t>Directionally consistent with DHI's own completed unsold inventory reduction (down 35% YoY, 25% sequentially). Industry-wide spec inventory normalization is a positive for pricing discipline.</w:t>
            </w:r>
          </w:p>
        </w:tc>
      </w:tr>
      <w:tr>
        <w:tc>
          <w:tcPr>
            <w:tcW w:type="dxa" w:w="2880"/>
          </w:tcPr>
          <w:p>
            <w:r>
              <w:rPr>
                <w:rFonts w:ascii="Calibri" w:hAnsi="Calibri"/>
                <w:sz w:val="22"/>
              </w:rPr>
              <w:t>Land Market</w:t>
            </w:r>
          </w:p>
        </w:tc>
        <w:tc>
          <w:tcPr>
            <w:tcW w:type="dxa" w:w="2880"/>
          </w:tcPr>
          <w:p>
            <w:r>
              <w:rPr>
                <w:rFonts w:ascii="Calibri" w:hAnsi="Calibri"/>
                <w:sz w:val="22"/>
              </w:rPr>
              <w:t>"Sellers starting to come to terms with the reality of the current market" — more constructive terms and price adjustments emerging, though not yet widespread. Land market beginning to reset.</w:t>
            </w:r>
          </w:p>
        </w:tc>
        <w:tc>
          <w:tcPr>
            <w:tcW w:type="dxa" w:w="2880"/>
          </w:tcPr>
          <w:p>
            <w:r>
              <w:rPr>
                <w:rFonts w:ascii="Calibri" w:hAnsi="Calibri"/>
                <w:sz w:val="22"/>
              </w:rPr>
              <w:t>Positive long-term read-through for DHI's lot cost trajectory. If land prices moderate, DHI's lot cost headwind (up 4% YoY in Q2) could ease in future quarters.</w:t>
            </w:r>
          </w:p>
        </w:tc>
      </w:tr>
      <w:tr>
        <w:tc>
          <w:tcPr>
            <w:tcW w:type="dxa" w:w="2880"/>
          </w:tcPr>
          <w:p>
            <w:r>
              <w:rPr>
                <w:rFonts w:ascii="Calibri" w:hAnsi="Calibri"/>
                <w:sz w:val="22"/>
              </w:rPr>
              <w:t>Q3 FY2026 Outlook (KBH)</w:t>
            </w:r>
          </w:p>
        </w:tc>
        <w:tc>
          <w:tcPr>
            <w:tcW w:type="dxa" w:w="2880"/>
          </w:tcPr>
          <w:p>
            <w:r>
              <w:rPr>
                <w:rFonts w:ascii="Calibri" w:hAnsi="Calibri"/>
                <w:sz w:val="22"/>
              </w:rPr>
              <w:t>KBH guided Q3 deliveries of 2,600–2,800 homes; housing revenues of $1.2B–$1.35B; gross margin 16.0%–16.6%; SG&amp;A 11.3%–11.9%. Over 80% of Q3 deliveries already in backlog.</w:t>
            </w:r>
          </w:p>
        </w:tc>
        <w:tc>
          <w:tcPr>
            <w:tcW w:type="dxa" w:w="2880"/>
          </w:tcPr>
          <w:p>
            <w:r>
              <w:rPr>
                <w:rFonts w:ascii="Calibri" w:hAnsi="Calibri"/>
                <w:sz w:val="22"/>
              </w:rPr>
              <w:t>KBH's high backlog visibility (80%+ of Q3 deliveries in backlog) is a positive signal for the industry. DHI's own closings guide of 23,500–24,000 is supported by its backlog and starts pipeline.</w:t>
            </w:r>
          </w:p>
        </w:tc>
      </w:tr>
    </w:tbl>
    <w:p>
      <w:r>
        <w:rPr>
          <w:rFonts w:ascii="Calibri" w:hAnsi="Calibri"/>
          <w:i/>
          <w:color w:val="525866"/>
          <w:sz w:val="22"/>
        </w:rPr>
        <w:t>Source: KB Home Q2 FY2026 Earnings Call Transcript (June 23, 2026); KB Home Q2 FY2026 Earnings Release (June 23, 2026). All observations are directional read-throughs for DHI and should not be treated as direct forecasts.</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Direction</w:t>
            </w:r>
          </w:p>
        </w:tc>
        <w:tc>
          <w:tcPr>
            <w:tcW w:type="dxa" w:w="2160"/>
            <w:shd w:val="clear" w:color="auto" w:fill="3B4259"/>
          </w:tcPr>
          <w:p>
            <w:r>
              <w:rPr>
                <w:rFonts w:ascii="Calibri" w:hAnsi="Calibri"/>
                <w:b/>
                <w:color w:val="FFFFFF"/>
                <w:sz w:val="22"/>
              </w:rPr>
              <w:t>Source</w:t>
            </w:r>
          </w:p>
        </w:tc>
        <w:tc>
          <w:tcPr>
            <w:tcW w:type="dxa" w:w="2160"/>
            <w:shd w:val="clear" w:color="auto" w:fill="3B4259"/>
          </w:tcPr>
          <w:p>
            <w:r>
              <w:rPr>
                <w:rFonts w:ascii="Calibri" w:hAnsi="Calibri"/>
                <w:b/>
                <w:color w:val="FFFFFF"/>
                <w:sz w:val="22"/>
              </w:rPr>
              <w:t>Implication for DHI Q3</w:t>
            </w:r>
          </w:p>
        </w:tc>
      </w:tr>
      <w:tr>
        <w:tc>
          <w:tcPr>
            <w:tcW w:type="dxa" w:w="2160"/>
          </w:tcPr>
          <w:p>
            <w:r>
              <w:rPr>
                <w:rFonts w:ascii="Calibri" w:hAnsi="Calibri"/>
                <w:sz w:val="22"/>
              </w:rPr>
              <w:t>Incentive levels peaking / declining</w:t>
            </w:r>
          </w:p>
        </w:tc>
        <w:tc>
          <w:tcPr>
            <w:tcW w:type="dxa" w:w="2160"/>
          </w:tcPr>
          <w:p>
            <w:r>
              <w:rPr>
                <w:rFonts w:ascii="Calibri" w:hAnsi="Calibri"/>
                <w:b/>
                <w:color w:val="30A46C"/>
                <w:sz w:val="22"/>
              </w:rPr>
              <w:t>Positive</w:t>
            </w:r>
          </w:p>
        </w:tc>
        <w:tc>
          <w:tcPr>
            <w:tcW w:type="dxa" w:w="2160"/>
          </w:tcPr>
          <w:p>
            <w:r>
              <w:rPr>
                <w:rFonts w:ascii="Calibri" w:hAnsi="Calibri"/>
                <w:sz w:val="22"/>
              </w:rPr>
              <w:t>LEN, KBH</w:t>
            </w:r>
          </w:p>
        </w:tc>
        <w:tc>
          <w:tcPr>
            <w:tcW w:type="dxa" w:w="2160"/>
          </w:tcPr>
          <w:p>
            <w:r>
              <w:rPr>
                <w:rFonts w:ascii="Calibri" w:hAnsi="Calibri"/>
                <w:sz w:val="22"/>
              </w:rPr>
              <w:t>Supports DHI's "stable incentives" assumption; potential upside to gross margin</w:t>
            </w:r>
          </w:p>
        </w:tc>
      </w:tr>
      <w:tr>
        <w:tc>
          <w:tcPr>
            <w:tcW w:type="dxa" w:w="2160"/>
          </w:tcPr>
          <w:p>
            <w:r>
              <w:rPr>
                <w:rFonts w:ascii="Calibri" w:hAnsi="Calibri"/>
                <w:sz w:val="22"/>
              </w:rPr>
              <w:t>Construction costs declining / cycle times improving</w:t>
            </w:r>
          </w:p>
        </w:tc>
        <w:tc>
          <w:tcPr>
            <w:tcW w:type="dxa" w:w="2160"/>
          </w:tcPr>
          <w:p>
            <w:r>
              <w:rPr>
                <w:rFonts w:ascii="Calibri" w:hAnsi="Calibri"/>
                <w:b/>
                <w:color w:val="30A46C"/>
                <w:sz w:val="22"/>
              </w:rPr>
              <w:t>Positive</w:t>
            </w:r>
          </w:p>
        </w:tc>
        <w:tc>
          <w:tcPr>
            <w:tcW w:type="dxa" w:w="2160"/>
          </w:tcPr>
          <w:p>
            <w:r>
              <w:rPr>
                <w:rFonts w:ascii="Calibri" w:hAnsi="Calibri"/>
                <w:sz w:val="22"/>
              </w:rPr>
              <w:t>LEN, KBH</w:t>
            </w:r>
          </w:p>
        </w:tc>
        <w:tc>
          <w:tcPr>
            <w:tcW w:type="dxa" w:w="2160"/>
          </w:tcPr>
          <w:p>
            <w:r>
              <w:rPr>
                <w:rFonts w:ascii="Calibri" w:hAnsi="Calibri"/>
                <w:sz w:val="22"/>
              </w:rPr>
              <w:t>Validates DHI's incremental cost savings guidance for Q3/Q4</w:t>
            </w:r>
          </w:p>
        </w:tc>
      </w:tr>
      <w:tr>
        <w:tc>
          <w:tcPr>
            <w:tcW w:type="dxa" w:w="2160"/>
          </w:tcPr>
          <w:p>
            <w:r>
              <w:rPr>
                <w:rFonts w:ascii="Calibri" w:hAnsi="Calibri"/>
                <w:sz w:val="22"/>
              </w:rPr>
              <w:t>June order cadence steady</w:t>
            </w:r>
          </w:p>
        </w:tc>
        <w:tc>
          <w:tcPr>
            <w:tcW w:type="dxa" w:w="2160"/>
          </w:tcPr>
          <w:p>
            <w:r>
              <w:rPr>
                <w:rFonts w:ascii="Calibri" w:hAnsi="Calibri"/>
                <w:b/>
                <w:color w:val="30A46C"/>
                <w:sz w:val="22"/>
              </w:rPr>
              <w:t>Positive</w:t>
            </w:r>
          </w:p>
        </w:tc>
        <w:tc>
          <w:tcPr>
            <w:tcW w:type="dxa" w:w="2160"/>
          </w:tcPr>
          <w:p>
            <w:r>
              <w:rPr>
                <w:rFonts w:ascii="Calibri" w:hAnsi="Calibri"/>
                <w:sz w:val="22"/>
              </w:rPr>
              <w:t>KBH</w:t>
            </w:r>
          </w:p>
        </w:tc>
        <w:tc>
          <w:tcPr>
            <w:tcW w:type="dxa" w:w="2160"/>
          </w:tcPr>
          <w:p>
            <w:r>
              <w:rPr>
                <w:rFonts w:ascii="Calibri" w:hAnsi="Calibri"/>
                <w:sz w:val="22"/>
              </w:rPr>
              <w:t>Suggests DHI's Q3 orders closed on solid footing; orders consensus of 24,129 achievable</w:t>
            </w:r>
          </w:p>
        </w:tc>
      </w:tr>
      <w:tr>
        <w:tc>
          <w:tcPr>
            <w:tcW w:type="dxa" w:w="2160"/>
          </w:tcPr>
          <w:p>
            <w:r>
              <w:rPr>
                <w:rFonts w:ascii="Calibri" w:hAnsi="Calibri"/>
                <w:sz w:val="22"/>
              </w:rPr>
              <w:t>Spec / completed inventory normalizing</w:t>
            </w:r>
          </w:p>
        </w:tc>
        <w:tc>
          <w:tcPr>
            <w:tcW w:type="dxa" w:w="2160"/>
          </w:tcPr>
          <w:p>
            <w:r>
              <w:rPr>
                <w:rFonts w:ascii="Calibri" w:hAnsi="Calibri"/>
                <w:b/>
                <w:color w:val="30A46C"/>
                <w:sz w:val="22"/>
              </w:rPr>
              <w:t>Positive</w:t>
            </w:r>
          </w:p>
        </w:tc>
        <w:tc>
          <w:tcPr>
            <w:tcW w:type="dxa" w:w="2160"/>
          </w:tcPr>
          <w:p>
            <w:r>
              <w:rPr>
                <w:rFonts w:ascii="Calibri" w:hAnsi="Calibri"/>
                <w:sz w:val="22"/>
              </w:rPr>
              <w:t>LEN, KBH</w:t>
            </w:r>
          </w:p>
        </w:tc>
        <w:tc>
          <w:tcPr>
            <w:tcW w:type="dxa" w:w="2160"/>
          </w:tcPr>
          <w:p>
            <w:r>
              <w:rPr>
                <w:rFonts w:ascii="Calibri" w:hAnsi="Calibri"/>
                <w:sz w:val="22"/>
              </w:rPr>
              <w:t>Consistent with DHI's own inventory reduction; supports pricing discipline</w:t>
            </w:r>
          </w:p>
        </w:tc>
      </w:tr>
      <w:tr>
        <w:tc>
          <w:tcPr>
            <w:tcW w:type="dxa" w:w="2160"/>
          </w:tcPr>
          <w:p>
            <w:r>
              <w:rPr>
                <w:rFonts w:ascii="Calibri" w:hAnsi="Calibri"/>
                <w:sz w:val="22"/>
              </w:rPr>
              <w:t>Mortgage rates stubbornly elevated (6.4%–6.5%)</w:t>
            </w:r>
          </w:p>
        </w:tc>
        <w:tc>
          <w:tcPr>
            <w:tcW w:type="dxa" w:w="2160"/>
          </w:tcPr>
          <w:p>
            <w:r>
              <w:rPr>
                <w:rFonts w:ascii="Calibri" w:hAnsi="Calibri"/>
                <w:b/>
                <w:color w:val="E5484D"/>
                <w:sz w:val="22"/>
              </w:rPr>
              <w:t>Negative</w:t>
            </w:r>
          </w:p>
        </w:tc>
        <w:tc>
          <w:tcPr>
            <w:tcW w:type="dxa" w:w="2160"/>
          </w:tcPr>
          <w:p>
            <w:r>
              <w:rPr>
                <w:rFonts w:ascii="Calibri" w:hAnsi="Calibri"/>
                <w:sz w:val="22"/>
              </w:rPr>
              <w:t>LEN</w:t>
            </w:r>
          </w:p>
        </w:tc>
        <w:tc>
          <w:tcPr>
            <w:tcW w:type="dxa" w:w="2160"/>
          </w:tcPr>
          <w:p>
            <w:r>
              <w:rPr>
                <w:rFonts w:ascii="Calibri" w:hAnsi="Calibri"/>
                <w:sz w:val="22"/>
              </w:rPr>
              <w:t>Sustained affordability headwind; validates flat ASP assumption but limits upside</w:t>
            </w:r>
          </w:p>
        </w:tc>
      </w:tr>
      <w:tr>
        <w:tc>
          <w:tcPr>
            <w:tcW w:type="dxa" w:w="2160"/>
          </w:tcPr>
          <w:p>
            <w:r>
              <w:rPr>
                <w:rFonts w:ascii="Calibri" w:hAnsi="Calibri"/>
                <w:sz w:val="22"/>
              </w:rPr>
              <w:t>May CPI spike (4.2% YoY); Fed on hold</w:t>
            </w:r>
          </w:p>
        </w:tc>
        <w:tc>
          <w:tcPr>
            <w:tcW w:type="dxa" w:w="2160"/>
          </w:tcPr>
          <w:p>
            <w:r>
              <w:rPr>
                <w:rFonts w:ascii="Calibri" w:hAnsi="Calibri"/>
                <w:b/>
                <w:color w:val="E5484D"/>
                <w:sz w:val="22"/>
              </w:rPr>
              <w:t>Negative</w:t>
            </w:r>
          </w:p>
        </w:tc>
        <w:tc>
          <w:tcPr>
            <w:tcW w:type="dxa" w:w="2160"/>
          </w:tcPr>
          <w:p>
            <w:r>
              <w:rPr>
                <w:rFonts w:ascii="Calibri" w:hAnsi="Calibri"/>
                <w:sz w:val="22"/>
              </w:rPr>
              <w:t>LEN</w:t>
            </w:r>
          </w:p>
        </w:tc>
        <w:tc>
          <w:tcPr>
            <w:tcW w:type="dxa" w:w="2160"/>
          </w:tcPr>
          <w:p>
            <w:r>
              <w:rPr>
                <w:rFonts w:ascii="Calibri" w:hAnsi="Calibri"/>
                <w:sz w:val="22"/>
              </w:rPr>
              <w:t>Consumer confidence headwind in May; risk that incentives crept higher than guided</w:t>
            </w:r>
          </w:p>
        </w:tc>
      </w:tr>
      <w:tr>
        <w:tc>
          <w:tcPr>
            <w:tcW w:type="dxa" w:w="2160"/>
          </w:tcPr>
          <w:p>
            <w:r>
              <w:rPr>
                <w:rFonts w:ascii="Calibri" w:hAnsi="Calibri"/>
                <w:sz w:val="22"/>
              </w:rPr>
              <w:t>Spring selling season softer than expected; LEN cut annual guidance</w:t>
            </w:r>
          </w:p>
        </w:tc>
        <w:tc>
          <w:tcPr>
            <w:tcW w:type="dxa" w:w="2160"/>
          </w:tcPr>
          <w:p>
            <w:r>
              <w:rPr>
                <w:rFonts w:ascii="Calibri" w:hAnsi="Calibri"/>
                <w:b/>
                <w:color w:val="E5484D"/>
                <w:sz w:val="22"/>
              </w:rPr>
              <w:t>Negative</w:t>
            </w:r>
          </w:p>
        </w:tc>
        <w:tc>
          <w:tcPr>
            <w:tcW w:type="dxa" w:w="2160"/>
          </w:tcPr>
          <w:p>
            <w:r>
              <w:rPr>
                <w:rFonts w:ascii="Calibri" w:hAnsi="Calibri"/>
                <w:sz w:val="22"/>
              </w:rPr>
              <w:t>LEN</w:t>
            </w:r>
          </w:p>
        </w:tc>
        <w:tc>
          <w:tcPr>
            <w:tcW w:type="dxa" w:w="2160"/>
          </w:tcPr>
          <w:p>
            <w:r>
              <w:rPr>
                <w:rFonts w:ascii="Calibri" w:hAnsi="Calibri"/>
                <w:sz w:val="22"/>
              </w:rPr>
              <w:t>Elevated risk that DHI's closings come in at or below the low end of the 23,500–24,000 guide</w:t>
            </w:r>
          </w:p>
        </w:tc>
      </w:tr>
      <w:tr>
        <w:tc>
          <w:tcPr>
            <w:tcW w:type="dxa" w:w="2160"/>
          </w:tcPr>
          <w:p>
            <w:r>
              <w:rPr>
                <w:rFonts w:ascii="Calibri" w:hAnsi="Calibri"/>
                <w:sz w:val="22"/>
              </w:rPr>
              <w:t>Buyer urgency "measured and deliberate"</w:t>
            </w:r>
          </w:p>
        </w:tc>
        <w:tc>
          <w:tcPr>
            <w:tcW w:type="dxa" w:w="2160"/>
          </w:tcPr>
          <w:p>
            <w:r>
              <w:rPr>
                <w:rFonts w:ascii="Calibri" w:hAnsi="Calibri"/>
                <w:b/>
                <w:sz w:val="22"/>
              </w:rPr>
              <w:t>Neutral / Negative</w:t>
            </w:r>
          </w:p>
        </w:tc>
        <w:tc>
          <w:tcPr>
            <w:tcW w:type="dxa" w:w="2160"/>
          </w:tcPr>
          <w:p>
            <w:r>
              <w:rPr>
                <w:rFonts w:ascii="Calibri" w:hAnsi="Calibri"/>
                <w:sz w:val="22"/>
              </w:rPr>
              <w:t>LEN, KBH</w:t>
            </w:r>
          </w:p>
        </w:tc>
        <w:tc>
          <w:tcPr>
            <w:tcW w:type="dxa" w:w="2160"/>
          </w:tcPr>
          <w:p>
            <w:r>
              <w:rPr>
                <w:rFonts w:ascii="Calibri" w:hAnsi="Calibri"/>
                <w:sz w:val="22"/>
              </w:rPr>
              <w:t>Orders likely solid but not a repeat of Q2's outsized beat; conversion remains challenged</w:t>
            </w:r>
          </w:p>
        </w:tc>
      </w:tr>
    </w:tbl>
    <w:p>
      <w:r>
        <w:rPr>
          <w:rFonts w:ascii="Calibri" w:hAnsi="Calibri"/>
          <w:b/>
          <w:color w:val="525866"/>
          <w:sz w:val="22"/>
        </w:rPr>
        <w:t xml:space="preserve">Overall peer read-through verdict: </w:t>
      </w:r>
      <w:r>
        <w:rPr>
          <w:rFonts w:ascii="Calibri" w:hAnsi="Calibri"/>
          <w:color w:val="525866"/>
          <w:sz w:val="22"/>
        </w:rPr>
        <w:t>The balance of peer signals is modestly constructive on costs and inventory but cautious on demand. The most important single data point is KBH's June order commentary ("steady, in line with expectations") — if DHI's June orders tracked similarly, the Q3 orders number should be achievable. The bigger risk is on gross margin, where LEN's inflation commentary and the macro backdrop suggest incentive stability may have been harder to maintain than DHI's April guidance assumed.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in the SEC Form 4 database for DHI in the period from April 21, 2026 (last earnings) through July 20, 2026. The absence of insider buying is not unusual for a company with an active $2.5 billion share repurchase program, which effectively substitutes corporate capital allocation for individual insider signaling. No clustered buys, unusual sale sizes, or 10b5-1 plan initiations were flagged.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reportable open-market transactions identified (Apr 21 – Jul 20, 2026)</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r>
    </w:tbl>
    <w:p>
      <w:r>
        <w:rPr>
          <w:rFonts w:ascii="Calibri" w:hAnsi="Calibri"/>
          <w:i/>
          <w:color w:val="525866"/>
          <w:sz w:val="22"/>
        </w:rPr>
        <w:t>Source: SEC Form 4 filings database (transaction codes P/S; filing date window April 21, 2026 – July 20, 2026; ticker DHI). No open-market buys (code P) or discretionary sells (code S) were returned for the period. Company-level share repurchases of ~$2.5 billion for FY2026 are disclosed at the corporate level and are not reflected in individual Form 4 filings.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