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hr-earnings-predictions--2026-07-21"/>
    <w:p>
      <w:pPr>
        <w:pStyle w:val="Heading1"/>
      </w:pPr>
      <w:r>
        <w:t xml:space="preserve">DHR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~$1.88 vs. cons $1.84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Core/Organic Revenue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~2.4% vs. cons 2.0%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~26.9% vs. cons 26.5%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8.45</m:t>
              </m:r>
              <m:r>
                <m:rPr>
                  <m:sty m:val="p"/>
                </m:rPr>
                <m:t>−</m:t>
              </m:r>
            </m:oMath>
            <w:r>
              <w:t xml:space="preserve">8.65 vs. cons $8.46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~3%-6% (reaffirmed, midpoint 4.5%) vs. cons 4.3%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Core Revenue Growth / Margin Cadence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~mid-single-digit core growth (~4%) vs. cons ~3% (Q3 2026), with margin recovering toward ~28% from Q2's 26.5%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+1.2% (STABILIZE)</w:t>
            </w:r>
          </w:p>
        </w:tc>
        <w:tc>
          <w:tcPr/>
          <w:p>
            <w:pPr>
              <w:pStyle w:val="Compact"/>
            </w:pPr>
            <w:r>
              <w:t xml:space="preserve">A modest EPS/margin/core-growth beat plus reaffirmed-to-slightly-raised FY guidance (now incorporating Masimo) should produce a positive but not explosive day-1 pop, since the stock already rallied ~24% off May lows and much of the bioprocessing-recovery/Masimo-optimism is pre-priced after Agilent's and ICON's strong prints. Out-period math is a wash: while Q2 margin dip was pre-guided (no incremental cut), Masimo integration costs, incremental amortization (~$1.7B FY26), higher interest expense, and lingering China VBP/Cepheid respiratory drag temper analysts' out-quarter EPS raises even if headline adjusted EPS beats — capping upward revisions. Conversely, continued bioprocessing equipment-order momentum and confirmation that H1 headwinds are fading on schedule should prevent the kind of macro-driven post-print selloff seen after Q1 (when the stock fell ~9% despite a beat-and-raise). Net effect: gains from the print largely hold over the week rather than compounding meaningfully higher or reversing — a stabilization pattern.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2026-07-21T00:20:02Z</dcterms:created>
  <dcterms:modified xsi:type="dcterms:W3CDTF">2026-07-21T00:20:02Z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