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a67cd9b581482c3ea71c53aa8aeaf681c6f1bea"/>
    <w:p>
      <w:pPr>
        <w:pStyle w:val="Heading1"/>
      </w:pPr>
      <w:r>
        <w:t xml:space="preserve">Danaher Corporation (DHR) — Q2 2026 Earnings Preview</w:t>
      </w:r>
    </w:p>
    <w:p>
      <w:pPr>
        <w:pStyle w:val="FirstParagraph"/>
      </w:pPr>
      <w:r>
        <w:rPr>
          <w:b/>
          <w:bCs/>
        </w:rPr>
        <w:t xml:space="preserve">Report Date:</w:t>
      </w:r>
      <w:r>
        <w:t xml:space="preserve"> </w:t>
      </w:r>
      <w:r>
        <w:t xml:space="preserve">Tuesday, July 21,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Danaher heads into tomorrow's report as one of the more closely watched names in life-sciences tools, coming off a first quarter in which it beat and raised guidance, closed its largest acquisition in years (Masimo), and saw its stock swing from a January high near $242 to a May low near $162 before rallying back above $200 into the print. Sentiment across the lab-equipment group has firmed recently, aided by</w:t>
      </w:r>
      <w:r>
        <w:t xml:space="preserve"> </w:t>
      </w:r>
      <w:r>
        <w:rPr>
          <w:b/>
          <w:bCs/>
        </w:rPr>
        <w:t xml:space="preserve">Agilent's</w:t>
      </w:r>
      <w:r>
        <w:t xml:space="preserve"> </w:t>
      </w:r>
      <w:r>
        <w:t xml:space="preserve">fiscal Q2 beat (core growth of 6.3% with raised guidance) and</w:t>
      </w:r>
      <w:r>
        <w:t xml:space="preserve"> </w:t>
      </w:r>
      <w:r>
        <w:rPr>
          <w:b/>
          <w:bCs/>
        </w:rPr>
        <w:t xml:space="preserve">ICON PLC's</w:t>
      </w:r>
      <w:r>
        <w:t xml:space="preserve"> </w:t>
      </w:r>
      <w:r>
        <w:t xml:space="preserve">results, along with consolidation signals such as</w:t>
      </w:r>
      <w:r>
        <w:t xml:space="preserve"> </w:t>
      </w:r>
      <w:r>
        <w:rPr>
          <w:b/>
          <w:bCs/>
        </w:rPr>
        <w:t xml:space="preserve">Merck KGaA's</w:t>
      </w:r>
      <w:r>
        <w:t xml:space="preserve"> </w:t>
      </w:r>
      <w:r>
        <w:t xml:space="preserve">agreement to acquire</w:t>
      </w:r>
      <w:r>
        <w:t xml:space="preserve"> </w:t>
      </w:r>
      <w:r>
        <w:rPr>
          <w:b/>
          <w:bCs/>
        </w:rPr>
        <w:t xml:space="preserve">Bio-Techne</w:t>
      </w:r>
      <w:r>
        <w:t xml:space="preserve">.</w:t>
      </w:r>
    </w:p>
    <w:p>
      <w:pPr>
        <w:pStyle w:val="BodyText"/>
      </w:pPr>
      <w:r>
        <w:rPr>
          <w:b/>
          <w:bCs/>
        </w:rPr>
        <w:t xml:space="preserve">Street consensus for Q2 2026 (per Zacks/company guidance):</w:t>
      </w:r>
    </w:p>
    <w:p>
      <w:pPr>
        <w:pStyle w:val="Compact"/>
        <w:numPr>
          <w:ilvl w:val="0"/>
          <w:numId w:val="1001"/>
        </w:numPr>
      </w:pPr>
      <w:r>
        <w:t xml:space="preserve">Revenue: ~$6.09 billion (+2.6% y/y)</w:t>
      </w:r>
    </w:p>
    <w:p>
      <w:pPr>
        <w:pStyle w:val="Compact"/>
        <w:numPr>
          <w:ilvl w:val="0"/>
          <w:numId w:val="1001"/>
        </w:numPr>
      </w:pPr>
      <w:r>
        <w:t xml:space="preserve">Adjusted EPS: ~$1.84 (+2.2% y/y)</w:t>
      </w:r>
    </w:p>
    <w:p>
      <w:pPr>
        <w:pStyle w:val="Compact"/>
        <w:numPr>
          <w:ilvl w:val="0"/>
          <w:numId w:val="1001"/>
        </w:numPr>
      </w:pPr>
      <w:r>
        <w:t xml:space="preserve">Organic/core revenue growth: ~2% (company guided "low-single-digit")</w:t>
      </w:r>
    </w:p>
    <w:p>
      <w:pPr>
        <w:pStyle w:val="Compact"/>
        <w:numPr>
          <w:ilvl w:val="0"/>
          <w:numId w:val="1001"/>
        </w:numPr>
      </w:pPr>
      <w:r>
        <w:t xml:space="preserve">Adjusted operating margin: ~26.5%–26.6%</w:t>
      </w:r>
    </w:p>
    <w:p>
      <w:pPr>
        <w:pStyle w:val="FirstParagraph"/>
      </w:pPr>
      <w:r>
        <w:t xml:space="preserve">Danaher has beaten consensus EPS in each of the last several quarters — including a 6.19% beat in Q1 2026 ($2.06 vs. $1.94 expected) — giving the print a favorable "beat-and-raise" track record heading in.</w:t>
      </w:r>
    </w:p>
    <w:p>
      <w:r>
        <w:pict>
          <v:rect style="width:0;height:1.5pt" o:hralign="center" o:hrstd="t" o:hr="t"/>
        </w:pict>
      </w:r>
    </w:p>
    <w:bookmarkEnd w:id="9"/>
    <w:bookmarkStart w:id="10" w:name="X2c3a33c714e07a3660b4a4aabb6904e7104cd9b"/>
    <w:p>
      <w:pPr>
        <w:pStyle w:val="Heading2"/>
      </w:pPr>
      <w:r>
        <w:t xml:space="preserve">2. Q1 2026 Recap — The Baseline for Tomorrow</w:t>
      </w:r>
    </w:p>
    <w:p>
      <w:pPr>
        <w:pStyle w:val="FirstParagraph"/>
      </w:pPr>
      <w:r>
        <w:t xml:space="preserve">Danaher's Q1 set the tone for how to think about 2026:</w:t>
      </w:r>
    </w:p>
    <w:p>
      <w:pPr>
        <w:pStyle w:val="Compact"/>
        <w:numPr>
          <w:ilvl w:val="0"/>
          <w:numId w:val="1002"/>
        </w:numPr>
      </w:pPr>
      <w:r>
        <w:rPr>
          <w:b/>
          <w:bCs/>
        </w:rPr>
        <w:t xml:space="preserve">Sales</w:t>
      </w:r>
      <w:r>
        <w:t xml:space="preserve"> </w:t>
      </w:r>
      <w:r>
        <w:t xml:space="preserve">of $6.0 billion,</w:t>
      </w:r>
      <w:r>
        <w:t xml:space="preserve"> </w:t>
      </w:r>
      <w:r>
        <w:rPr>
          <w:b/>
          <w:bCs/>
        </w:rPr>
        <w:t xml:space="preserve">core revenue +0.5%</w:t>
      </w:r>
      <w:r>
        <w:t xml:space="preserve"> </w:t>
      </w:r>
      <w:r>
        <w:t xml:space="preserve">(reported +3.5%), with a 2.5-point drag from a soft Cepheid respiratory season offsetting 3% growth in the rest of the portfolio.</w:t>
      </w:r>
    </w:p>
    <w:p>
      <w:pPr>
        <w:pStyle w:val="Compact"/>
        <w:numPr>
          <w:ilvl w:val="0"/>
          <w:numId w:val="1002"/>
        </w:numPr>
      </w:pPr>
      <w:r>
        <w:rPr>
          <w:b/>
          <w:bCs/>
        </w:rPr>
        <w:t xml:space="preserve">Adjusted EPS</w:t>
      </w:r>
      <w:r>
        <w:t xml:space="preserve"> </w:t>
      </w:r>
      <w:r>
        <w:t xml:space="preserve">of $2.06, up 9.5% y/y, driven by cost/productivity execution (adjusted operating margin of 30.2%, +60 bps).</w:t>
      </w:r>
    </w:p>
    <w:p>
      <w:pPr>
        <w:pStyle w:val="Compact"/>
        <w:numPr>
          <w:ilvl w:val="0"/>
          <w:numId w:val="1002"/>
        </w:numPr>
      </w:pPr>
      <w:r>
        <w:rPr>
          <w:b/>
          <w:bCs/>
        </w:rPr>
        <w:t xml:space="preserve">Segment core growth:</w:t>
      </w:r>
      <w:r>
        <w:t xml:space="preserve"> </w:t>
      </w:r>
      <w:r>
        <w:t xml:space="preserve">Biotechnology +7% (bioprocessing consumables high-single-digit, equipment orders +30% y/y — the first positive equipment order growth in nearly two years); Life Sciences +0.5% (soft academic instruments, offset by Aldevron/Abcam consumables); Diagnostics -4% (China VBP pricing headwinds and a ~25% y/y drop in Cepheid respiratory revenue, partly offset by mid-single-digit growth in clinical diagnostics ex-China/respiratory).</w:t>
      </w:r>
    </w:p>
    <w:p>
      <w:pPr>
        <w:pStyle w:val="Compact"/>
        <w:numPr>
          <w:ilvl w:val="0"/>
          <w:numId w:val="1002"/>
        </w:numPr>
      </w:pPr>
      <w:r>
        <w:t xml:space="preserve">Management raised full-year adjusted EPS guidance to</w:t>
      </w:r>
      <w:r>
        <w:t xml:space="preserve"> </w:t>
      </w:r>
      <m:oMath>
        <m:r>
          <m:t>8.35</m:t>
        </m:r>
        <m:r>
          <m:rPr>
            <m:sty m:val="p"/>
          </m:rPr>
          <m:t>–</m:t>
        </m:r>
      </m:oMath>
      <w:r>
        <w:rPr>
          <w:b/>
          <w:bCs/>
        </w:rPr>
        <w:t xml:space="preserve">8.55</w:t>
      </w:r>
      <w:r>
        <w:t xml:space="preserve"> </w:t>
      </w:r>
      <w:r>
        <w:t xml:space="preserve">(from</w:t>
      </w:r>
      <w:r>
        <w:t xml:space="preserve"> </w:t>
      </w:r>
      <m:oMath>
        <m:r>
          <m:t>8.35</m:t>
        </m:r>
        <m:r>
          <m:rPr>
            <m:sty m:val="p"/>
          </m:rPr>
          <m:t>–</m:t>
        </m:r>
      </m:oMath>
      <w:r>
        <w:t xml:space="preserve">8.50) while reiterating</w:t>
      </w:r>
      <w:r>
        <w:t xml:space="preserve"> </w:t>
      </w:r>
      <w:r>
        <w:rPr>
          <w:b/>
          <w:bCs/>
        </w:rPr>
        <w:t xml:space="preserve">3%–6% full-year core growth</w:t>
      </w:r>
      <w:r>
        <w:t xml:space="preserve">, and guided</w:t>
      </w:r>
      <w:r>
        <w:t xml:space="preserve"> </w:t>
      </w:r>
      <w:r>
        <w:rPr>
          <w:b/>
          <w:bCs/>
        </w:rPr>
        <w:t xml:space="preserve">Q2 core growth to "low-single-digit"</w:t>
      </w:r>
      <w:r>
        <w:t xml:space="preserve"> </w:t>
      </w:r>
      <w:r>
        <w:t xml:space="preserve">with</w:t>
      </w:r>
      <w:r>
        <w:t xml:space="preserve"> </w:t>
      </w:r>
      <w:r>
        <w:rPr>
          <w:b/>
          <w:bCs/>
        </w:rPr>
        <w:t xml:space="preserve">adjusted operating margin of approximately 26.5%</w:t>
      </w:r>
      <w:r>
        <w:t xml:space="preserve"> </w:t>
      </w:r>
      <w:r>
        <w:t xml:space="preserve">— a large sequential step-down from Q1's 30.2%, which CFO Matt Gugino attributed to normal respiratory seasonality, incremental FX drag, and a deliberate decision to pull forward growth investment from H2 into Q2.</w:t>
      </w:r>
    </w:p>
    <w:p>
      <w:pPr>
        <w:pStyle w:val="FirstParagraph"/>
      </w:pPr>
      <w:r>
        <w:t xml:space="preserve">Management's framing: roughly 300 bps of combined headwind in H1 2026 (China diagnostics VBP, respiratory comps, Life Sciences comps) should fade by year-end, supporting an exit from Q4 in the mid-single-digit core growth range even without assuming end-market improvement.</w:t>
      </w:r>
    </w:p>
    <w:p>
      <w:r>
        <w:pict>
          <v:rect style="width:0;height:1.5pt" o:hralign="center" o:hrstd="t" o:hr="t"/>
        </w:pict>
      </w:r>
    </w:p>
    <w:bookmarkEnd w:id="10"/>
    <w:bookmarkStart w:id="11" w:name="Xbe0023fcae03df5691d4a352da141a527778644"/>
    <w:p>
      <w:pPr>
        <w:pStyle w:val="Heading2"/>
      </w:pPr>
      <w:r>
        <w:t xml:space="preserve">3. The Masimo Deal Is Now Live — Watch for First Commentary</w:t>
      </w:r>
    </w:p>
    <w:p>
      <w:pPr>
        <w:pStyle w:val="FirstParagraph"/>
      </w:pPr>
      <w:r>
        <w:t xml:space="preserve">The biggest structural change since Q1 is that Danaher</w:t>
      </w:r>
      <w:r>
        <w:t xml:space="preserve"> </w:t>
      </w:r>
      <w:r>
        <w:rPr>
          <w:b/>
          <w:bCs/>
        </w:rPr>
        <w:t xml:space="preserve">closed its $9.9 billion acquisition of Masimo on June 10, 2026</w:t>
      </w:r>
      <w:r>
        <w:t xml:space="preserve"> </w:t>
      </w:r>
      <w:r>
        <w:t xml:space="preserve">(Masimo shareholders received $180/share in cash), folding the pulse-oximetry and acute-care patient-monitoring specialist into the Diagnostics segment alongside Radiometer. At close, Danaher said it expected</w:t>
      </w:r>
      <w:r>
        <w:t xml:space="preserve"> </w:t>
      </w:r>
      <w:r>
        <w:rPr>
          <w:b/>
          <w:bCs/>
        </w:rPr>
        <w:t xml:space="preserve">no material Masimo contribution in Q2</w:t>
      </w:r>
      <w:r>
        <w:t xml:space="preserve"> </w:t>
      </w:r>
      <w:r>
        <w:t xml:space="preserve">and left Q2/FY26 guidance unchanged excluding the deal. That makes tomorrow the first quarter where investors should get real color on:</w:t>
      </w:r>
    </w:p>
    <w:p>
      <w:pPr>
        <w:pStyle w:val="Compact"/>
        <w:numPr>
          <w:ilvl w:val="0"/>
          <w:numId w:val="1003"/>
        </w:numPr>
      </w:pPr>
      <w:r>
        <w:t xml:space="preserve">Purchase accounting impacts (incremental intangible amortization was already flagged at ~$1.7 billion for FY26) and their effect on GAAP vs. adjusted EPS.</w:t>
      </w:r>
    </w:p>
    <w:p>
      <w:pPr>
        <w:pStyle w:val="Compact"/>
        <w:numPr>
          <w:ilvl w:val="0"/>
          <w:numId w:val="1003"/>
        </w:numPr>
      </w:pPr>
      <w:r>
        <w:t xml:space="preserve">Early integration/synergy commentary against the disclosed targets:</w:t>
      </w:r>
      <w:r>
        <w:t xml:space="preserve"> </w:t>
      </w:r>
      <m:oMath>
        <m:r>
          <m:t>125</m:t>
        </m:r>
        <m:r>
          <m:t>m</m:t>
        </m:r>
        <m:r>
          <m:t>i</m:t>
        </m:r>
        <m:r>
          <m:t>l</m:t>
        </m:r>
        <m:r>
          <m:t>l</m:t>
        </m:r>
        <m:r>
          <m:t>i</m:t>
        </m:r>
        <m:r>
          <m:t>o</m:t>
        </m:r>
        <m:r>
          <m:t>n</m:t>
        </m:r>
        <m:r>
          <m:t>o</m:t>
        </m:r>
        <m:r>
          <m:t>f</m:t>
        </m:r>
        <m:r>
          <m:t>c</m:t>
        </m:r>
        <m:r>
          <m:t>u</m:t>
        </m:r>
        <m:r>
          <m:t>m</m:t>
        </m:r>
        <m:r>
          <m:t>u</m:t>
        </m:r>
        <m:r>
          <m:t>l</m:t>
        </m:r>
        <m:r>
          <m:t>a</m:t>
        </m:r>
        <m:r>
          <m:t>t</m:t>
        </m:r>
        <m:r>
          <m:t>i</m:t>
        </m:r>
        <m:r>
          <m:t>v</m:t>
        </m:r>
        <m:r>
          <m:t>e</m:t>
        </m:r>
        <m:r>
          <m:t>c</m:t>
        </m:r>
        <m:r>
          <m:t>o</m:t>
        </m:r>
        <m:r>
          <m:t>s</m:t>
        </m:r>
        <m:r>
          <m:t>t</m:t>
        </m:r>
        <m:r>
          <m:t>s</m:t>
        </m:r>
        <m:r>
          <m:t>y</m:t>
        </m:r>
        <m:r>
          <m:t>n</m:t>
        </m:r>
        <m:r>
          <m:t>e</m:t>
        </m:r>
        <m:r>
          <m:t>r</m:t>
        </m:r>
        <m:r>
          <m:t>g</m:t>
        </m:r>
        <m:r>
          <m:t>i</m:t>
        </m:r>
        <m:r>
          <m:t>e</m:t>
        </m:r>
        <m:r>
          <m:t>s</m:t>
        </m:r>
        <m:r>
          <m:t>b</m:t>
        </m:r>
        <m:r>
          <m:t>y</m:t>
        </m:r>
        <m:r>
          <m:t>y</m:t>
        </m:r>
        <m:r>
          <m:t>e</m:t>
        </m:r>
        <m:r>
          <m:t>a</m:t>
        </m:r>
        <m:r>
          <m:t>r</m:t>
        </m:r>
        <m:r>
          <m:t>f</m:t>
        </m:r>
        <m:r>
          <m:t>i</m:t>
        </m:r>
        <m:r>
          <m:t>v</m:t>
        </m:r>
        <m:r>
          <m:t>e</m:t>
        </m:r>
        <m:r>
          <m:rPr>
            <m:sty m:val="p"/>
          </m:rPr>
          <m:t>(</m:t>
        </m:r>
      </m:oMath>
      <w:r>
        <w:t xml:space="preserve">50M COGS, $50M OpEx, $25M public-company cost removal) plus $50 million of revenue synergies, with management targeting high-single-digit ROIC by year five and EPS accretion in year one.</w:t>
      </w:r>
    </w:p>
    <w:p>
      <w:pPr>
        <w:pStyle w:val="Compact"/>
        <w:numPr>
          <w:ilvl w:val="0"/>
          <w:numId w:val="1003"/>
        </w:numPr>
      </w:pPr>
      <w:r>
        <w:t xml:space="preserve">Balance sheet trajectory — leverage was expected to move to roughly 2.5x net debt/EBITDA post-close, so watch for updated deleveraging pace and whether it constrains near-term bolt-on M&amp;A appetite (management said on the Q1 call it retains "balance sheet capacity as well as the leadership bandwidth" for further deals in any segment).</w:t>
      </w:r>
    </w:p>
    <w:p>
      <w:r>
        <w:pict>
          <v:rect style="width:0;height:1.5pt" o:hralign="center" o:hrstd="t" o:hr="t"/>
        </w:pict>
      </w:r>
    </w:p>
    <w:bookmarkEnd w:id="11"/>
    <w:bookmarkStart w:id="12" w:name="Xf19629c81d7ff378fd6243bde451abee2c9c85e"/>
    <w:p>
      <w:pPr>
        <w:pStyle w:val="Heading2"/>
      </w:pPr>
      <w:r>
        <w:t xml:space="preserve">4. Key Themes to Watch Tomorrow</w:t>
      </w:r>
    </w:p>
    <w:p>
      <w:pPr>
        <w:pStyle w:val="FirstParagraph"/>
      </w:pPr>
      <w:r>
        <w:rPr>
          <w:b/>
          <w:bCs/>
        </w:rPr>
        <w:t xml:space="preserve">a) Bioprocessing equipment cycle.</w:t>
      </w:r>
      <w:r>
        <w:t xml:space="preserve"> </w:t>
      </w:r>
      <w:r>
        <w:t xml:space="preserve">Q1's +30% y/y equipment order growth was framed as an early signal of a multiyear capacity investment cycle (brownfield expansions now, greenfield later, plus reshoring-driven demand). A continuation — or acceleration — of order momentum, and any signs equipment revenue is inflecting rather than just orders, would be a key positive catalyst; a pause would raise doubts about the "2027 acceleration" narrative.</w:t>
      </w:r>
    </w:p>
    <w:p>
      <w:pPr>
        <w:pStyle w:val="BodyText"/>
      </w:pPr>
      <w:r>
        <w:rPr>
          <w:b/>
          <w:bCs/>
        </w:rPr>
        <w:t xml:space="preserve">b) China Diagnostics/VBP.</w:t>
      </w:r>
      <w:r>
        <w:t xml:space="preserve"> </w:t>
      </w:r>
      <w:r>
        <w:t xml:space="preserve">Management guided to a $75–100 million full-year headwind from volume-based procurement and reimbursement changes, while noting patient volumes were tracking slightly better than expected. Confirmation that pricing headwinds are playing out "as expected" (rather than worsening) matters for the Diagnostics segment's path back to low-single-digit full-year growth.</w:t>
      </w:r>
    </w:p>
    <w:p>
      <w:pPr>
        <w:pStyle w:val="BodyText"/>
      </w:pPr>
      <w:r>
        <w:rPr>
          <w:b/>
          <w:bCs/>
        </w:rPr>
        <w:t xml:space="preserve">c) Cepheid/respiratory normalization.</w:t>
      </w:r>
      <w:r>
        <w:t xml:space="preserve"> </w:t>
      </w:r>
      <w:r>
        <w:t xml:space="preserve">FY26 respiratory revenue guidance sits at</w:t>
      </w:r>
      <w:r>
        <w:t xml:space="preserve"> </w:t>
      </w:r>
      <w:r>
        <w:t xml:space="preserve">$1.6–1.7 billion, below the "endemic" ~$</w:t>
      </w:r>
      <w:r>
        <w:t xml:space="preserve">1.8 billion run rate. Watch nonrespiratory menu growth (GI panel, sexual-health/HAI assays grew 20%+ in Q1) as the offset story, plus any share-gain commentary.</w:t>
      </w:r>
    </w:p>
    <w:p>
      <w:pPr>
        <w:pStyle w:val="BodyText"/>
      </w:pPr>
      <w:r>
        <w:rPr>
          <w:b/>
          <w:bCs/>
        </w:rPr>
        <w:t xml:space="preserve">d) Margin cadence and cost inflation.</w:t>
      </w:r>
      <w:r>
        <w:t xml:space="preserve"> </w:t>
      </w:r>
      <w:r>
        <w:t xml:space="preserve">The guided sequential step-down to ~26.5% adjusted operating margin in Q2 embeds FX drag and pulled-forward investment spend. Watch for commentary on raw material/resin costs given oil-price volatility tied to the Middle East conflict — management said in April it hadn't seen "meaningful pressure" yet but was watching closely — plus tariff-related cost impacts, which are explicitly flagged as a risk factor in filings.</w:t>
      </w:r>
    </w:p>
    <w:p>
      <w:pPr>
        <w:pStyle w:val="BodyText"/>
      </w:pPr>
      <w:r>
        <w:rPr>
          <w:b/>
          <w:bCs/>
        </w:rPr>
        <w:t xml:space="preserve">e) Full-year guidance update.</w:t>
      </w:r>
      <w:r>
        <w:t xml:space="preserve"> </w:t>
      </w:r>
      <w:r>
        <w:t xml:space="preserve">With Masimo now consolidated and H1 largely in the books, look for any refresh to the 3%–6% core growth range or the</w:t>
      </w:r>
      <w:r>
        <w:t xml:space="preserve"> </w:t>
      </w:r>
      <m:oMath>
        <m:r>
          <m:t>8.35</m:t>
        </m:r>
        <m:r>
          <m:rPr>
            <m:sty m:val="p"/>
          </m:rPr>
          <m:t>–</m:t>
        </m:r>
      </m:oMath>
      <w:r>
        <w:t xml:space="preserve">8.55 adjusted EPS range (now presumably incorporating Masimo, updated FX, and interest expense from acquisition financing).</w:t>
      </w:r>
    </w:p>
    <w:p>
      <w:pPr>
        <w:pStyle w:val="BodyText"/>
      </w:pPr>
      <w:r>
        <w:rPr>
          <w:b/>
          <w:bCs/>
        </w:rPr>
        <w:t xml:space="preserve">f) Life Sciences/biotech funding recovery.</w:t>
      </w:r>
      <w:r>
        <w:t xml:space="preserve"> </w:t>
      </w:r>
      <w:r>
        <w:t xml:space="preserve">Q1 showed tentative signs of improving funnel activity at academic/biotech customers and stabilizing-to-improving trends at Aldevron and Abcam. Confirmation of continued sequential improvement would support the "growth accelerates through the year" thesis management has repeated.</w:t>
      </w:r>
    </w:p>
    <w:p>
      <w:r>
        <w:pict>
          <v:rect style="width:0;height:1.5pt" o:hralign="center" o:hrstd="t" o:hr="t"/>
        </w:pict>
      </w:r>
    </w:p>
    <w:bookmarkEnd w:id="12"/>
    <w:bookmarkStart w:id="13" w:name="Xacec6cd9f385552c02ffbdcce27cf8631bd02a7"/>
    <w:p>
      <w:pPr>
        <w:pStyle w:val="Heading2"/>
      </w:pPr>
      <w:r>
        <w:t xml:space="preserve">5. Stock Performance, Sentiment and Valuation</w:t>
      </w:r>
    </w:p>
    <w:p>
      <w:pPr>
        <w:pStyle w:val="FirstParagraph"/>
      </w:pPr>
      <w:r>
        <w:t xml:space="preserve">DHR shares have been volatile in 2026 — falling from roughly $235–242 in January to a 52-week-type low near $162 by mid-May (a drawdown of over 30%), despite the Q1 beat-and-raise, before rebounding roughly 24% off the lows to close around</w:t>
      </w:r>
      <w:r>
        <w:t xml:space="preserve"> </w:t>
      </w:r>
      <m:oMath>
        <m:r>
          <m:t>201</m:t>
        </m:r>
        <m:r>
          <m:t>o</m:t>
        </m:r>
        <m:r>
          <m:t>n</m:t>
        </m:r>
        <m:r>
          <m:t>J</m:t>
        </m:r>
        <m:r>
          <m:t>u</m:t>
        </m:r>
        <m:r>
          <m:t>l</m:t>
        </m:r>
        <m:r>
          <m:t>y</m:t>
        </m:r>
        <m:r>
          <m:t>20</m:t>
        </m:r>
        <m:r>
          <m:rPr>
            <m:sty m:val="p"/>
          </m:rPr>
          <m:t>.</m:t>
        </m:r>
        <m:r>
          <m:t>N</m:t>
        </m:r>
        <m:r>
          <m:t>o</m:t>
        </m:r>
        <m:r>
          <m:t>t</m:t>
        </m:r>
        <m:r>
          <m:t>a</m:t>
        </m:r>
        <m:r>
          <m:t>b</m:t>
        </m:r>
        <m:r>
          <m:t>l</m:t>
        </m:r>
        <m:r>
          <m:t>y</m:t>
        </m:r>
        <m:r>
          <m:rPr>
            <m:sty m:val="p"/>
          </m:rPr>
          <m:t>,</m:t>
        </m:r>
        <m:r>
          <m:t>t</m:t>
        </m:r>
        <m:r>
          <m:t>h</m:t>
        </m:r>
        <m:r>
          <m:t>e</m:t>
        </m:r>
        <m:r>
          <m:t>s</m:t>
        </m:r>
        <m:r>
          <m:t>t</m:t>
        </m:r>
        <m:r>
          <m:t>o</m:t>
        </m:r>
        <m:r>
          <m:t>c</m:t>
        </m:r>
        <m:r>
          <m:t>k</m:t>
        </m:r>
        <m:r>
          <m:t>a</m:t>
        </m:r>
        <m:r>
          <m:t>c</m:t>
        </m:r>
        <m:r>
          <m:t>t</m:t>
        </m:r>
        <m:r>
          <m:t>u</m:t>
        </m:r>
        <m:r>
          <m:t>a</m:t>
        </m:r>
        <m:r>
          <m:t>l</m:t>
        </m:r>
        <m:r>
          <m:t>l</m:t>
        </m:r>
        <m:r>
          <m:t>y</m:t>
        </m:r>
        <m:r>
          <m:t>s</m:t>
        </m:r>
        <m:r>
          <m:t>o</m:t>
        </m:r>
        <m:r>
          <m:t>l</m:t>
        </m:r>
        <m:r>
          <m:t>d</m:t>
        </m:r>
        <m:r>
          <m:t>o</m:t>
        </m:r>
        <m:r>
          <m:t>f</m:t>
        </m:r>
        <m:r>
          <m:t>f</m:t>
        </m:r>
        <m:r>
          <m:t>i</m:t>
        </m:r>
        <m:r>
          <m:t>n</m:t>
        </m:r>
        <m:r>
          <m:t>t</m:t>
        </m:r>
        <m:r>
          <m:t>h</m:t>
        </m:r>
        <m:r>
          <m:t>e</m:t>
        </m:r>
        <m:r>
          <m:t>d</m:t>
        </m:r>
        <m:r>
          <m:t>a</m:t>
        </m:r>
        <m:r>
          <m:t>y</m:t>
        </m:r>
        <m:r>
          <m:t>s</m:t>
        </m:r>
        <m:r>
          <m:t>i</m:t>
        </m:r>
        <m:r>
          <m:t>m</m:t>
        </m:r>
        <m:r>
          <m:t>m</m:t>
        </m:r>
        <m:r>
          <m:t>e</m:t>
        </m:r>
        <m:r>
          <m:t>d</m:t>
        </m:r>
        <m:r>
          <m:t>i</m:t>
        </m:r>
        <m:r>
          <m:t>a</m:t>
        </m:r>
        <m:r>
          <m:t>t</m:t>
        </m:r>
        <m:r>
          <m:t>e</m:t>
        </m:r>
        <m:r>
          <m:t>l</m:t>
        </m:r>
        <m:r>
          <m:t>y</m:t>
        </m:r>
        <m:r>
          <m:t>f</m:t>
        </m:r>
        <m:r>
          <m:t>o</m:t>
        </m:r>
        <m:r>
          <m:t>l</m:t>
        </m:r>
        <m:r>
          <m:t>l</m:t>
        </m:r>
        <m:r>
          <m:t>o</m:t>
        </m:r>
        <m:r>
          <m:t>w</m:t>
        </m:r>
        <m:r>
          <m:t>i</m:t>
        </m:r>
        <m:r>
          <m:t>n</m:t>
        </m:r>
        <m:r>
          <m:t>g</m:t>
        </m:r>
        <m:r>
          <m:t>t</m:t>
        </m:r>
        <m:r>
          <m:t>h</m:t>
        </m:r>
        <m:r>
          <m:t>e</m:t>
        </m:r>
        <m:r>
          <m:t>Q</m:t>
        </m:r>
        <m:r>
          <m:t>1</m:t>
        </m:r>
        <m:r>
          <m:t>p</m:t>
        </m:r>
        <m:r>
          <m:t>r</m:t>
        </m:r>
        <m:r>
          <m:t>i</m:t>
        </m:r>
        <m:r>
          <m:t>n</m:t>
        </m:r>
        <m:r>
          <m:t>t</m:t>
        </m:r>
        <m:r>
          <m:rPr>
            <m:sty m:val="p"/>
          </m:rPr>
          <m:t>(</m:t>
        </m:r>
        <m:r>
          <m:t>f</m:t>
        </m:r>
        <m:r>
          <m:t>r</m:t>
        </m:r>
        <m:r>
          <m:t>o</m:t>
        </m:r>
        <m:r>
          <m:t>m</m:t>
        </m:r>
        <m:r>
          <m:t> </m:t>
        </m:r>
      </m:oMath>
      <w:r>
        <w:t xml:space="preserve">195 to ~$177), suggesting the market was more focused on macro/tariff and margin-trajectory concerns than on the headline beat.</w:t>
      </w:r>
    </w:p>
    <w:p>
      <w:pPr>
        <w:pStyle w:val="BodyText"/>
      </w:pPr>
      <w:r>
        <w:t xml:space="preserve">Analyst sentiment remains broadly constructive but has seen some recent target trims alongside reiterated buy ratings — for example, Evercore ISI cut its price target to $230 from $232 in early July while Barclays reiterated a Buy rating in late June. Consensus price targets cluster in the roughly</w:t>
      </w:r>
      <w:r>
        <w:t xml:space="preserve"> </w:t>
      </w:r>
      <m:oMath>
        <m:r>
          <m:t>235</m:t>
        </m:r>
        <m:r>
          <m:rPr>
            <m:sty m:val="p"/>
          </m:rPr>
          <m:t>–</m:t>
        </m:r>
      </m:oMath>
      <w:r>
        <w:t xml:space="preserve">253 range across various trackers, implying meaningful upside from current levels if the stock re-rates toward historical multiples, though the wide dispersion (targets ranging from ~$220 to $310) reflects differing views on the durability of the bioprocessing recovery and pace of margin normalization.</w:t>
      </w:r>
    </w:p>
    <w:p>
      <w:r>
        <w:pict>
          <v:rect style="width:0;height:1.5pt" o:hralign="center" o:hrstd="t" o:hr="t"/>
        </w:pict>
      </w:r>
    </w:p>
    <w:bookmarkEnd w:id="13"/>
    <w:bookmarkStart w:id="14" w:name="Xd4bf6205a9bfa183b58f00ca467c208cbf0bac7"/>
    <w:p>
      <w:pPr>
        <w:pStyle w:val="Heading2"/>
      </w:pPr>
      <w:r>
        <w:t xml:space="preserve">6. Bottom Line for Investors</w:t>
      </w:r>
    </w:p>
    <w:p>
      <w:pPr>
        <w:pStyle w:val="FirstParagraph"/>
      </w:pPr>
      <w:r>
        <w:t xml:space="preserve">Tomorrow's report is less about whether Danaher can beat a modest ~$1.84 EPS consensus (its track record suggests it can) and more about</w:t>
      </w:r>
      <w:r>
        <w:t xml:space="preserve"> </w:t>
      </w:r>
      <w:r>
        <w:rPr>
          <w:b/>
          <w:bCs/>
        </w:rPr>
        <w:t xml:space="preserve">confirmation of the multi-quarter recovery narrative</w:t>
      </w:r>
      <w:r>
        <w:t xml:space="preserve">: bioprocessing equipment orders translating into revenue, China diagnostics headwinds fading on schedule, Cepheid's non-respiratory menu offsetting a structurally lower respiratory base, and margins reaccelerating in H2 as one-time investment spend and FX/seasonal drags roll off. Layered on top is the market's first real look at Masimo under Danaher ownership — synergy progress, leverage reduction, and EPS accretion timing. A clean quarter with reaffirmed or raised full-year guidance, continued bioprocessing order strength, and constructive Masimo commentary would likely extend the stock's rebound from May lows; any wobble in bioprocessing orders, a China VBP surprise, or cautious Masimo integration commentary would reinforce the more skeptical, macro-driven selloff seen after Q1.</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2026-07-21T00:20:02Z</dcterms:created>
  <dcterms:modified xsi:type="dcterms:W3CDTF">2026-07-21T00:20:02Z</dcterms:modified>
</cp:coreProperties>
</file>

<file path=docProps/custom.xml><?xml version="1.0" encoding="utf-8"?>
<Properties xmlns="http://schemas.openxmlformats.org/officeDocument/2006/custom-properties" xmlns:vt="http://schemas.openxmlformats.org/officeDocument/2006/docPropsVTypes"/>
</file>