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r-earnings-predictions--2026-07-21"/>
    <w:p>
      <w:pPr>
        <w:pStyle w:val="Heading1"/>
      </w:pPr>
      <w:r>
        <w:t xml:space="preserve">DHR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~$1.89 vs. cons $1.84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~27.0% vs. cons 26.6%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8.48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8.40-$8.55) vs. cons $8.47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~3%-6% vs. cons 3.4%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vs. cons 4.0%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~26.0% vs. cons 26.1%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+4.2% (FOLLOW-THROUGH)</w:t>
            </w:r>
          </w:p>
        </w:tc>
        <w:tc>
          <w:tcPr/>
          <w:p>
            <w:pPr>
              <w:pStyle w:val="Compact"/>
            </w:pPr>
            <w:r>
              <w:t xml:space="preserve">Modest FY2026 EPS revisions and de-risked second-half core-growth math should extend the initial reaction; sustained bioprocessing equipment orders and improving Life Sciences bookings would lift 2027 estimates rather than reveal an implicit out-period cut.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2026-07-21T00:04:36Z</dcterms:created>
  <dcterms:modified xsi:type="dcterms:W3CDTF">2026-07-21T00:04:36Z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