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danaher-dhr-2026q2-earnings-preview"/>
    <w:p>
      <w:pPr>
        <w:pStyle w:val="Heading1"/>
      </w:pPr>
      <w:r>
        <w:t xml:space="preserve">Danaher (DHR) 2026Q2 Earnings Preview</w:t>
      </w:r>
    </w:p>
    <w:p>
      <w:pPr>
        <w:pStyle w:val="FirstParagraph"/>
      </w:pPr>
      <w:r>
        <w:rPr>
          <w:b/>
          <w:bCs/>
        </w:rPr>
        <w:t xml:space="preserve">Report date:</w:t>
      </w:r>
      <w:r>
        <w:t xml:space="preserve"> </w:t>
      </w:r>
      <w:r>
        <w:t xml:space="preserve">Tuesday, July 21, 2026, before the U.S. market open</w:t>
      </w:r>
      <w:r>
        <w:br/>
      </w:r>
      <w:r>
        <w:rPr>
          <w:b/>
          <w:bCs/>
        </w:rPr>
        <w:t xml:space="preserve">Conference call:</w:t>
      </w:r>
      <w:r>
        <w:t xml:space="preserve"> </w:t>
      </w:r>
      <w:r>
        <w:t xml:space="preserve">2026Q2 earnings call</w:t>
      </w:r>
      <w:r>
        <w:br/>
      </w:r>
      <w:r>
        <w:rPr>
          <w:b/>
          <w:bCs/>
        </w:rPr>
        <w:t xml:space="preserve">Closing price on July 20:</w:t>
      </w:r>
      <w:r>
        <w:t xml:space="preserve"> </w:t>
      </w:r>
      <w:r>
        <w:t xml:space="preserve">$201.15</w:t>
      </w:r>
    </w:p>
    <w:bookmarkStart w:id="9" w:name="investment-view-going-into-the-report"/>
    <w:p>
      <w:pPr>
        <w:pStyle w:val="Heading2"/>
      </w:pPr>
      <w:r>
        <w:t xml:space="preserve">Investment view going into the report</w:t>
      </w:r>
    </w:p>
    <w:p>
      <w:pPr>
        <w:pStyle w:val="FirstParagraph"/>
      </w:pPr>
      <w:r>
        <w:t xml:space="preserve">This quarter is less about whether Danaher can modestly beat a relatively modest Q2 earnings bar and more about whether management can</w:t>
      </w:r>
      <w:r>
        <w:t xml:space="preserve"> </w:t>
      </w:r>
      <w:r>
        <w:rPr>
          <w:b/>
          <w:bCs/>
        </w:rPr>
        <w:t xml:space="preserve">validate the expected second-half growth acceleration</w:t>
      </w:r>
      <w:r>
        <w:t xml:space="preserve">.</w:t>
      </w:r>
    </w:p>
    <w:p>
      <w:pPr>
        <w:pStyle w:val="BodyText"/>
      </w:pPr>
      <w:r>
        <w:t xml:space="preserve">The central investment debate is whether Danaher’s end markets are genuinely entering a durable recovery:</w:t>
      </w:r>
    </w:p>
    <w:p>
      <w:pPr>
        <w:pStyle w:val="Compact"/>
        <w:numPr>
          <w:ilvl w:val="0"/>
          <w:numId w:val="1001"/>
        </w:numPr>
      </w:pPr>
      <w:r>
        <w:t xml:space="preserve">Bioprocessing consumables are already healthy, but investors need evidence that improving equipment orders are becoming revenue.</w:t>
      </w:r>
    </w:p>
    <w:p>
      <w:pPr>
        <w:pStyle w:val="Compact"/>
        <w:numPr>
          <w:ilvl w:val="0"/>
          <w:numId w:val="1001"/>
        </w:numPr>
      </w:pPr>
      <w:r>
        <w:t xml:space="preserve">Life Sciences must progress from stabilization to actual growth.</w:t>
      </w:r>
    </w:p>
    <w:p>
      <w:pPr>
        <w:pStyle w:val="Compact"/>
        <w:numPr>
          <w:ilvl w:val="0"/>
          <w:numId w:val="1001"/>
        </w:numPr>
      </w:pPr>
      <w:r>
        <w:t xml:space="preserve">Diagnostics needs to absorb weak respiratory demand and China pricing pressure without further deterioration.</w:t>
      </w:r>
    </w:p>
    <w:p>
      <w:pPr>
        <w:pStyle w:val="Compact"/>
        <w:numPr>
          <w:ilvl w:val="0"/>
          <w:numId w:val="1001"/>
        </w:numPr>
      </w:pPr>
      <w:r>
        <w:t xml:space="preserve">Management must preserve margins while increasing growth investments.</w:t>
      </w:r>
    </w:p>
    <w:p>
      <w:pPr>
        <w:pStyle w:val="Compact"/>
        <w:numPr>
          <w:ilvl w:val="0"/>
          <w:numId w:val="1001"/>
        </w:numPr>
      </w:pPr>
      <w:r>
        <w:t xml:space="preserve">The pending Masimo acquisition adds execution, financing, and leverage considerations.</w:t>
      </w:r>
    </w:p>
    <w:p>
      <w:pPr>
        <w:pStyle w:val="FirstParagraph"/>
      </w:pPr>
      <w:r>
        <w:t xml:space="preserve">A cost-driven EPS beat without stronger organic trends would be lower quality. Conversely, improving orders, constructive Life Sciences commentary, and an unchanged or tighter full-year outlook could reinforce the view that Q1 marked the beginning of a multiyear recovery.</w:t>
      </w:r>
    </w:p>
    <w:p>
      <w:r>
        <w:pict>
          <v:rect style="width:0;height:1.5pt" o:hralign="center" o:hrstd="t" o:hr="t"/>
        </w:pict>
      </w:r>
    </w:p>
    <w:bookmarkEnd w:id="9"/>
    <w:bookmarkStart w:id="11" w:name="expectations-and-guideposts"/>
    <w:p>
      <w:pPr>
        <w:pStyle w:val="Heading2"/>
      </w:pPr>
      <w:r>
        <w:t xml:space="preserve">Expectations and guideposts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2025 actual</w:t>
            </w:r>
          </w:p>
        </w:tc>
        <w:tc>
          <w:tcPr/>
          <w:p>
            <w:pPr>
              <w:pStyle w:val="Compact"/>
              <w:jc w:val="right"/>
            </w:pPr>
            <w:r>
              <w:t xml:space="preserve">Q2 2026 expectation/guide</w:t>
            </w:r>
          </w:p>
        </w:tc>
      </w:tr>
      <w:tr>
        <w:tc>
          <w:tcPr/>
          <w:p>
            <w:pPr>
              <w:pStyle w:val="Compact"/>
            </w:pPr>
            <w:r>
              <w:t xml:space="preserve">Revenue</w:t>
            </w:r>
          </w:p>
        </w:tc>
        <w:tc>
          <w:tcPr/>
          <w:p>
            <w:pPr>
              <w:pStyle w:val="Compact"/>
              <w:jc w:val="right"/>
            </w:pPr>
            <w:r>
              <w:t xml:space="preserve">$5.94 billion</w:t>
            </w:r>
          </w:p>
        </w:tc>
        <w:tc>
          <w:tcPr/>
          <w:p>
            <w:pPr>
              <w:pStyle w:val="Compact"/>
              <w:jc w:val="right"/>
            </w:pPr>
            <w:r>
              <w:t xml:space="preserve">Approximately $6.1 billion implied by organic growth and FX</w:t>
            </w:r>
          </w:p>
        </w:tc>
      </w:tr>
      <w:tr>
        <w:tc>
          <w:tcPr/>
          <w:p>
            <w:pPr>
              <w:pStyle w:val="Compact"/>
            </w:pPr>
            <w:r>
              <w:t xml:space="preserve">Core revenue growth</w:t>
            </w:r>
          </w:p>
        </w:tc>
        <w:tc>
          <w:tcPr/>
          <w:p>
            <w:pPr>
              <w:pStyle w:val="Compact"/>
              <w:jc w:val="right"/>
            </w:pPr>
            <w:r>
              <w:t xml:space="preserve">1.5%</w:t>
            </w:r>
          </w:p>
        </w:tc>
        <w:tc>
          <w:tcPr/>
          <w:p>
            <w:pPr>
              <w:pStyle w:val="Compact"/>
              <w:jc w:val="right"/>
            </w:pPr>
            <w:r>
              <w:t xml:space="preserve">Street approximately 2%; management: low single digits</w:t>
            </w:r>
          </w:p>
        </w:tc>
      </w:tr>
      <w:tr>
        <w:tc>
          <w:tcPr/>
          <w:p>
            <w:pPr>
              <w:pStyle w:val="Compact"/>
            </w:pPr>
            <w:r>
              <w:t xml:space="preserve">Adjusted EPS</w:t>
            </w:r>
          </w:p>
        </w:tc>
        <w:tc>
          <w:tcPr/>
          <w:p>
            <w:pPr>
              <w:pStyle w:val="Compact"/>
              <w:jc w:val="right"/>
            </w:pPr>
            <w:r>
              <w:t xml:space="preserve">$1.80</w:t>
            </w:r>
          </w:p>
        </w:tc>
        <w:tc>
          <w:tcPr/>
          <w:p>
            <w:pPr>
              <w:pStyle w:val="Compact"/>
              <w:jc w:val="right"/>
            </w:pPr>
            <w:r>
              <w:t xml:space="preserve">Street approximately $1.84</w:t>
            </w:r>
          </w:p>
        </w:tc>
      </w:tr>
      <w:tr>
        <w:tc>
          <w:tcPr/>
          <w:p>
            <w:pPr>
              <w:pStyle w:val="Compact"/>
            </w:pPr>
            <w:r>
              <w:t xml:space="preserve">Adjusted operating margin</w:t>
            </w:r>
          </w:p>
        </w:tc>
        <w:tc>
          <w:tcPr/>
          <w:p>
            <w:pPr>
              <w:pStyle w:val="Compact"/>
              <w:jc w:val="right"/>
            </w:pPr>
            <w:r>
              <w:t xml:space="preserve">Not directly comparable in the release</w:t>
            </w:r>
          </w:p>
        </w:tc>
        <w:tc>
          <w:tcPr/>
          <w:p>
            <w:pPr>
              <w:pStyle w:val="Compact"/>
              <w:jc w:val="right"/>
            </w:pPr>
            <w:r>
              <w:t xml:space="preserve">Street approximately 26.6%; management approximately 26.5%</w:t>
            </w:r>
          </w:p>
        </w:tc>
      </w:tr>
      <w:tr>
        <w:tc>
          <w:tcPr/>
          <w:p>
            <w:pPr>
              <w:pStyle w:val="Compact"/>
            </w:pPr>
            <w:r>
              <w:t xml:space="preserve">Biotechnology core growth</w:t>
            </w:r>
          </w:p>
        </w:tc>
        <w:tc>
          <w:tcPr/>
          <w:p>
            <w:pPr>
              <w:pStyle w:val="Compact"/>
              <w:jc w:val="right"/>
            </w:pPr>
            <w:r>
              <w:t xml:space="preserve">6.0%</w:t>
            </w:r>
          </w:p>
        </w:tc>
        <w:tc>
          <w:tcPr/>
          <w:p>
            <w:pPr>
              <w:pStyle w:val="Compact"/>
              <w:jc w:val="right"/>
            </w:pPr>
            <w:r>
              <w:t xml:space="preserve">Management: mid-single digits</w:t>
            </w:r>
          </w:p>
        </w:tc>
      </w:tr>
      <w:tr>
        <w:tc>
          <w:tcPr/>
          <w:p>
            <w:pPr>
              <w:pStyle w:val="Compact"/>
            </w:pPr>
            <w:r>
              <w:t xml:space="preserve">Life Sciences core growth</w:t>
            </w:r>
          </w:p>
        </w:tc>
        <w:tc>
          <w:tcPr/>
          <w:p>
            <w:pPr>
              <w:pStyle w:val="Compact"/>
              <w:jc w:val="right"/>
            </w:pPr>
            <w:r>
              <w:t xml:space="preserve">-2.5%</w:t>
            </w:r>
          </w:p>
        </w:tc>
        <w:tc>
          <w:tcPr/>
          <w:p>
            <w:pPr>
              <w:pStyle w:val="Compact"/>
              <w:jc w:val="right"/>
            </w:pPr>
            <w:r>
              <w:t xml:space="preserve">Management: up slightly</w:t>
            </w:r>
          </w:p>
        </w:tc>
      </w:tr>
      <w:tr>
        <w:tc>
          <w:tcPr/>
          <w:p>
            <w:pPr>
              <w:pStyle w:val="Compact"/>
            </w:pPr>
            <w:r>
              <w:t xml:space="preserve">Diagnostics core growth</w:t>
            </w:r>
          </w:p>
        </w:tc>
        <w:tc>
          <w:tcPr/>
          <w:p>
            <w:pPr>
              <w:pStyle w:val="Compact"/>
              <w:jc w:val="right"/>
            </w:pPr>
            <w:r>
              <w:t xml:space="preserve">2.0%</w:t>
            </w:r>
          </w:p>
        </w:tc>
        <w:tc>
          <w:tcPr/>
          <w:p>
            <w:pPr>
              <w:pStyle w:val="Compact"/>
              <w:jc w:val="right"/>
            </w:pPr>
            <w:r>
              <w:t xml:space="preserve">Management: approximately flat</w:t>
            </w:r>
          </w:p>
        </w:tc>
      </w:tr>
    </w:tbl>
    <w:bookmarkStart w:id="10" w:name="existing-full-year-outlook"/>
    <w:p>
      <w:pPr>
        <w:pStyle w:val="Heading3"/>
      </w:pPr>
      <w:r>
        <w:t xml:space="preserve">Existing full-year outlook</w:t>
      </w:r>
    </w:p>
    <w:p>
      <w:pPr>
        <w:pStyle w:val="FirstParagraph"/>
      </w:pPr>
      <w:r>
        <w:t xml:space="preserve">Danaher entered the quarter with:</w:t>
      </w:r>
    </w:p>
    <w:p>
      <w:pPr>
        <w:pStyle w:val="Compact"/>
        <w:numPr>
          <w:ilvl w:val="0"/>
          <w:numId w:val="1002"/>
        </w:numPr>
      </w:pPr>
      <w:r>
        <w:rPr>
          <w:b/>
          <w:bCs/>
        </w:rPr>
        <w:t xml:space="preserve">Core revenue growth:</w:t>
      </w:r>
      <w:r>
        <w:t xml:space="preserve"> </w:t>
      </w:r>
      <w:r>
        <w:t xml:space="preserve">3%–6%</w:t>
      </w:r>
    </w:p>
    <w:p>
      <w:pPr>
        <w:pStyle w:val="Compact"/>
        <w:numPr>
          <w:ilvl w:val="0"/>
          <w:numId w:val="1002"/>
        </w:numPr>
      </w:pPr>
      <w:r>
        <w:rPr>
          <w:b/>
          <w:bCs/>
        </w:rPr>
        <w:t xml:space="preserve">Adjusted EPS:</w:t>
      </w:r>
      <w:r>
        <w:t xml:space="preserve"> </w:t>
      </w:r>
      <m:oMath>
        <m:r>
          <m:t>8.35</m:t>
        </m:r>
        <m:r>
          <m:rPr>
            <m:sty m:val="p"/>
          </m:rPr>
          <m:t>–</m:t>
        </m:r>
      </m:oMath>
      <w:r>
        <w:t xml:space="preserve">8.55</w:t>
      </w:r>
    </w:p>
    <w:p>
      <w:pPr>
        <w:pStyle w:val="Compact"/>
        <w:numPr>
          <w:ilvl w:val="0"/>
          <w:numId w:val="1002"/>
        </w:numPr>
      </w:pPr>
      <w:r>
        <w:rPr>
          <w:b/>
          <w:bCs/>
        </w:rPr>
        <w:t xml:space="preserve">Biotechnology core growth:</w:t>
      </w:r>
      <w:r>
        <w:t xml:space="preserve"> </w:t>
      </w:r>
      <w:r>
        <w:t xml:space="preserve">approximately 6%</w:t>
      </w:r>
    </w:p>
    <w:p>
      <w:pPr>
        <w:pStyle w:val="Compact"/>
        <w:numPr>
          <w:ilvl w:val="0"/>
          <w:numId w:val="1002"/>
        </w:numPr>
      </w:pPr>
      <w:r>
        <w:rPr>
          <w:b/>
          <w:bCs/>
        </w:rPr>
        <w:t xml:space="preserve">Life Sciences core growth:</w:t>
      </w:r>
      <w:r>
        <w:t xml:space="preserve"> </w:t>
      </w:r>
      <w:r>
        <w:t xml:space="preserve">up slightly</w:t>
      </w:r>
    </w:p>
    <w:p>
      <w:pPr>
        <w:pStyle w:val="Compact"/>
        <w:numPr>
          <w:ilvl w:val="0"/>
          <w:numId w:val="1002"/>
        </w:numPr>
      </w:pPr>
      <w:r>
        <w:rPr>
          <w:b/>
          <w:bCs/>
        </w:rPr>
        <w:t xml:space="preserve">Diagnostics core growth:</w:t>
      </w:r>
      <w:r>
        <w:t xml:space="preserve"> </w:t>
      </w:r>
      <w:r>
        <w:t xml:space="preserve">low single digits</w:t>
      </w:r>
    </w:p>
    <w:p>
      <w:pPr>
        <w:pStyle w:val="Compact"/>
        <w:numPr>
          <w:ilvl w:val="0"/>
          <w:numId w:val="1002"/>
        </w:numPr>
      </w:pPr>
      <w:r>
        <w:rPr>
          <w:b/>
          <w:bCs/>
        </w:rPr>
        <w:t xml:space="preserve">Cepheid respiratory revenue:</w:t>
      </w:r>
      <w:r>
        <w:t xml:space="preserve"> </w:t>
      </w:r>
      <w:r>
        <w:t xml:space="preserve">approximately</w:t>
      </w:r>
      <w:r>
        <w:t xml:space="preserve"> </w:t>
      </w:r>
      <m:oMath>
        <m:r>
          <m:t>1.6</m:t>
        </m:r>
        <m:r>
          <m:rPr>
            <m:sty m:val="p"/>
          </m:rPr>
          <m:t>–</m:t>
        </m:r>
      </m:oMath>
      <w:r>
        <w:t xml:space="preserve">1.7 billion</w:t>
      </w:r>
    </w:p>
    <w:p>
      <w:pPr>
        <w:pStyle w:val="Compact"/>
        <w:numPr>
          <w:ilvl w:val="0"/>
          <w:numId w:val="1002"/>
        </w:numPr>
      </w:pPr>
      <w:r>
        <w:rPr>
          <w:b/>
          <w:bCs/>
        </w:rPr>
        <w:t xml:space="preserve">Expected free cash flow:</w:t>
      </w:r>
      <w:r>
        <w:t xml:space="preserve"> </w:t>
      </w:r>
      <w:r>
        <w:t xml:space="preserve">more than $5 billion</w:t>
      </w:r>
    </w:p>
    <w:p>
      <w:pPr>
        <w:pStyle w:val="FirstParagraph"/>
      </w:pPr>
      <w:r>
        <w:t xml:space="preserve">The range is wide, but management previously advised investors to anchor toward the lower end of the core-growth outlook. The most meaningful guidance signal tomorrow will therefore be whether management becomes more confident around the midpoint or continues to emphasize the low end.</w:t>
      </w:r>
    </w:p>
    <w:p>
      <w:r>
        <w:pict>
          <v:rect style="width:0;height:1.5pt" o:hralign="center" o:hrstd="t" o:hr="t"/>
        </w:pict>
      </w:r>
    </w:p>
    <w:bookmarkEnd w:id="10"/>
    <w:bookmarkEnd w:id="11"/>
    <w:bookmarkStart w:id="12" w:name="the-five-issues-that-matter-most"/>
    <w:p>
      <w:pPr>
        <w:pStyle w:val="Heading2"/>
      </w:pPr>
      <w:r>
        <w:t xml:space="preserve">The five issues that matter most</w:t>
      </w:r>
    </w:p>
    <w:bookmarkEnd w:id="12"/>
    <w:bookmarkStart w:id="15" w:name="X0730df2329ea59a9bd99c70c1027030d452151b"/>
    <w:p>
      <w:pPr>
        <w:pStyle w:val="Heading2"/>
      </w:pPr>
      <w:r>
        <w:t xml:space="preserve">1. Is the bioprocessing equipment recovery real?</w:t>
      </w:r>
    </w:p>
    <w:p>
      <w:pPr>
        <w:pStyle w:val="FirstParagraph"/>
      </w:pPr>
      <w:r>
        <w:t xml:space="preserve">Biotechnology remains Danaher’s strongest segment and the most important driver of the recovery thesis.</w:t>
      </w:r>
    </w:p>
    <w:p>
      <w:pPr>
        <w:pStyle w:val="BodyText"/>
      </w:pPr>
      <w:r>
        <w:t xml:space="preserve">In Q1:</w:t>
      </w:r>
    </w:p>
    <w:p>
      <w:pPr>
        <w:pStyle w:val="Compact"/>
        <w:numPr>
          <w:ilvl w:val="0"/>
          <w:numId w:val="1003"/>
        </w:numPr>
      </w:pPr>
      <w:r>
        <w:t xml:space="preserve">Biotechnology core revenue grew 7%.</w:t>
      </w:r>
    </w:p>
    <w:p>
      <w:pPr>
        <w:pStyle w:val="Compact"/>
        <w:numPr>
          <w:ilvl w:val="0"/>
          <w:numId w:val="1003"/>
        </w:numPr>
      </w:pPr>
      <w:r>
        <w:t xml:space="preserve">Bioprocessing grew high single digits.</w:t>
      </w:r>
    </w:p>
    <w:p>
      <w:pPr>
        <w:pStyle w:val="Compact"/>
        <w:numPr>
          <w:ilvl w:val="0"/>
          <w:numId w:val="1003"/>
        </w:numPr>
      </w:pPr>
      <w:r>
        <w:t xml:space="preserve">Consumables grew high single digits.</w:t>
      </w:r>
    </w:p>
    <w:p>
      <w:pPr>
        <w:pStyle w:val="Compact"/>
        <w:numPr>
          <w:ilvl w:val="0"/>
          <w:numId w:val="1003"/>
        </w:numPr>
      </w:pPr>
      <w:r>
        <w:t xml:space="preserve">Equipment revenue declined modestly.</w:t>
      </w:r>
    </w:p>
    <w:p>
      <w:pPr>
        <w:pStyle w:val="Compact"/>
        <w:numPr>
          <w:ilvl w:val="0"/>
          <w:numId w:val="1003"/>
        </w:numPr>
      </w:pPr>
      <w:r>
        <w:t xml:space="preserve">Equipment orders increased more than 30% year over year—the first positive year-over-year quarter in almost two years.</w:t>
      </w:r>
    </w:p>
    <w:p>
      <w:pPr>
        <w:pStyle w:val="FirstParagraph"/>
      </w:pPr>
      <w:r>
        <w:t xml:space="preserve">Management believes the industry is in the early stages of a multiyear capacity-investment cycle. Commercial biologic production remains robust, while two years of muted equipment spending have created a growing need for additional capacity. Brownfield projects are appearing first, with larger greenfield investments expected later.</w:t>
      </w:r>
    </w:p>
    <w:p>
      <w:pPr>
        <w:pStyle w:val="BodyText"/>
      </w:pPr>
      <w:r>
        <w:t xml:space="preserve">The key issue is</w:t>
      </w:r>
      <w:r>
        <w:t xml:space="preserve"> </w:t>
      </w:r>
      <w:r>
        <w:rPr>
          <w:b/>
          <w:bCs/>
        </w:rPr>
        <w:t xml:space="preserve">conversion</w:t>
      </w:r>
      <w:r>
        <w:t xml:space="preserve">. Q1 equipment orders came against an easier comparison, and equipment revenue can be lumpy because recognition depends on customer-site readiness. Management’s full-year forecast only assumed approximately flat equipment revenue after a double-digit decline in 2025.</w:t>
      </w:r>
    </w:p>
    <w:bookmarkStart w:id="13" w:name="what-would-be-encouraging"/>
    <w:p>
      <w:pPr>
        <w:pStyle w:val="Heading3"/>
      </w:pPr>
      <w:r>
        <w:t xml:space="preserve">What would be encouraging</w:t>
      </w:r>
    </w:p>
    <w:p>
      <w:pPr>
        <w:pStyle w:val="Compact"/>
        <w:numPr>
          <w:ilvl w:val="0"/>
          <w:numId w:val="1004"/>
        </w:numPr>
      </w:pPr>
      <w:r>
        <w:t xml:space="preserve">Another quarter of positive equipment-order growth.</w:t>
      </w:r>
    </w:p>
    <w:p>
      <w:pPr>
        <w:pStyle w:val="Compact"/>
        <w:numPr>
          <w:ilvl w:val="0"/>
          <w:numId w:val="1004"/>
        </w:numPr>
      </w:pPr>
      <w:r>
        <w:t xml:space="preserve">Book-to-bill above one or an expanding backlog.</w:t>
      </w:r>
    </w:p>
    <w:p>
      <w:pPr>
        <w:pStyle w:val="Compact"/>
        <w:numPr>
          <w:ilvl w:val="0"/>
          <w:numId w:val="1004"/>
        </w:numPr>
      </w:pPr>
      <w:r>
        <w:t xml:space="preserve">Larger orders and evidence that brownfield activity is broadening.</w:t>
      </w:r>
    </w:p>
    <w:p>
      <w:pPr>
        <w:pStyle w:val="Compact"/>
        <w:numPr>
          <w:ilvl w:val="0"/>
          <w:numId w:val="1004"/>
        </w:numPr>
      </w:pPr>
      <w:r>
        <w:t xml:space="preserve">Equipment revenue improving from Q1’s modest decline.</w:t>
      </w:r>
    </w:p>
    <w:p>
      <w:pPr>
        <w:pStyle w:val="Compact"/>
        <w:numPr>
          <w:ilvl w:val="0"/>
          <w:numId w:val="1004"/>
        </w:numPr>
      </w:pPr>
      <w:r>
        <w:t xml:space="preserve">Continued high-single-digit consumables growth.</w:t>
      </w:r>
    </w:p>
    <w:p>
      <w:pPr>
        <w:pStyle w:val="Compact"/>
        <w:numPr>
          <w:ilvl w:val="0"/>
          <w:numId w:val="1004"/>
        </w:numPr>
      </w:pPr>
      <w:r>
        <w:t xml:space="preserve">Commentary that some equipment upside could enter 2026 rather than remaining entirely a 2027 story.</w:t>
      </w:r>
    </w:p>
    <w:bookmarkEnd w:id="13"/>
    <w:bookmarkStart w:id="14" w:name="what-would-be-concerning"/>
    <w:p>
      <w:pPr>
        <w:pStyle w:val="Heading3"/>
      </w:pPr>
      <w:r>
        <w:t xml:space="preserve">What would be concerning</w:t>
      </w:r>
    </w:p>
    <w:p>
      <w:pPr>
        <w:pStyle w:val="Compact"/>
        <w:numPr>
          <w:ilvl w:val="0"/>
          <w:numId w:val="1005"/>
        </w:numPr>
      </w:pPr>
      <w:r>
        <w:t xml:space="preserve">Sharp deceleration in orders following the Q1 comparison-driven rebound.</w:t>
      </w:r>
    </w:p>
    <w:p>
      <w:pPr>
        <w:pStyle w:val="Compact"/>
        <w:numPr>
          <w:ilvl w:val="0"/>
          <w:numId w:val="1005"/>
        </w:numPr>
      </w:pPr>
      <w:r>
        <w:t xml:space="preserve">Project delays or weaker customer readiness.</w:t>
      </w:r>
    </w:p>
    <w:p>
      <w:pPr>
        <w:pStyle w:val="Compact"/>
        <w:numPr>
          <w:ilvl w:val="0"/>
          <w:numId w:val="1005"/>
        </w:numPr>
      </w:pPr>
      <w:r>
        <w:t xml:space="preserve">Consumables growth slowing materially from high single digits.</w:t>
      </w:r>
    </w:p>
    <w:p>
      <w:pPr>
        <w:pStyle w:val="Compact"/>
        <w:numPr>
          <w:ilvl w:val="0"/>
          <w:numId w:val="1005"/>
        </w:numPr>
      </w:pPr>
      <w:r>
        <w:t xml:space="preserve">Management continuing to describe strong funnels without measurable revenue conversion.</w:t>
      </w:r>
    </w:p>
    <w:p>
      <w:pPr>
        <w:pStyle w:val="FirstParagraph"/>
      </w:pPr>
      <w:r>
        <w:rPr>
          <w:b/>
          <w:bCs/>
        </w:rPr>
        <w:t xml:space="preserve">Bottom line:</w:t>
      </w:r>
      <w:r>
        <w:t xml:space="preserve"> </w:t>
      </w:r>
      <w:r>
        <w:t xml:space="preserve">Investors will probably tolerate mid-single-digit Biotechnology growth in Q2 if leading indicators remain strong. Weak orders would be more damaging than a modest revenue miss.</w:t>
      </w:r>
    </w:p>
    <w:p>
      <w:r>
        <w:pict>
          <v:rect style="width:0;height:1.5pt" o:hralign="center" o:hrstd="t" o:hr="t"/>
        </w:pict>
      </w:r>
    </w:p>
    <w:bookmarkEnd w:id="14"/>
    <w:bookmarkEnd w:id="15"/>
    <w:bookmarkStart w:id="18" w:name="X8d43e068d9cde8153353042e3222b1240ea94e0"/>
    <w:p>
      <w:pPr>
        <w:pStyle w:val="Heading2"/>
      </w:pPr>
      <w:r>
        <w:t xml:space="preserve">2. Can Life Sciences turn stabilization into growth?</w:t>
      </w:r>
    </w:p>
    <w:p>
      <w:pPr>
        <w:pStyle w:val="FirstParagraph"/>
      </w:pPr>
      <w:r>
        <w:t xml:space="preserve">Life Sciences was roughly flat on a core basis in Q1, better than initially expected, but the recovery remains uneven.</w:t>
      </w:r>
    </w:p>
    <w:p>
      <w:pPr>
        <w:pStyle w:val="BodyText"/>
      </w:pPr>
      <w:r>
        <w:t xml:space="preserve">Management cited:</w:t>
      </w:r>
    </w:p>
    <w:p>
      <w:pPr>
        <w:pStyle w:val="Compact"/>
        <w:numPr>
          <w:ilvl w:val="0"/>
          <w:numId w:val="1006"/>
        </w:numPr>
      </w:pPr>
      <w:r>
        <w:t xml:space="preserve">Gradual improvement among large pharma and biopharma customers.</w:t>
      </w:r>
    </w:p>
    <w:p>
      <w:pPr>
        <w:pStyle w:val="Compact"/>
        <w:numPr>
          <w:ilvl w:val="0"/>
          <w:numId w:val="1006"/>
        </w:numPr>
      </w:pPr>
      <w:r>
        <w:t xml:space="preserve">Stable but still muted biotech instrumentation demand.</w:t>
      </w:r>
    </w:p>
    <w:p>
      <w:pPr>
        <w:pStyle w:val="Compact"/>
        <w:numPr>
          <w:ilvl w:val="0"/>
          <w:numId w:val="1006"/>
        </w:numPr>
      </w:pPr>
      <w:r>
        <w:t xml:space="preserve">Better funding and funnel activity.</w:t>
      </w:r>
    </w:p>
    <w:p>
      <w:pPr>
        <w:pStyle w:val="Compact"/>
        <w:numPr>
          <w:ilvl w:val="0"/>
          <w:numId w:val="1006"/>
        </w:numPr>
      </w:pPr>
      <w:r>
        <w:t xml:space="preserve">Early pockets of improvement at academic customers.</w:t>
      </w:r>
    </w:p>
    <w:p>
      <w:pPr>
        <w:pStyle w:val="Compact"/>
        <w:numPr>
          <w:ilvl w:val="0"/>
          <w:numId w:val="1006"/>
        </w:numPr>
      </w:pPr>
      <w:r>
        <w:t xml:space="preserve">Growth at Aldevron.</w:t>
      </w:r>
    </w:p>
    <w:p>
      <w:pPr>
        <w:pStyle w:val="Compact"/>
        <w:numPr>
          <w:ilvl w:val="0"/>
          <w:numId w:val="1006"/>
        </w:numPr>
      </w:pPr>
      <w:r>
        <w:t xml:space="preserve">Better commercial execution and margin expansion at Abcam.</w:t>
      </w:r>
    </w:p>
    <w:p>
      <w:pPr>
        <w:pStyle w:val="Compact"/>
        <w:numPr>
          <w:ilvl w:val="0"/>
          <w:numId w:val="1006"/>
        </w:numPr>
      </w:pPr>
      <w:r>
        <w:t xml:space="preserve">Improved demand in China.</w:t>
      </w:r>
    </w:p>
    <w:p>
      <w:pPr>
        <w:pStyle w:val="FirstParagraph"/>
      </w:pPr>
      <w:r>
        <w:t xml:space="preserve">North American academic and government research remains the main weak spot. The Q2 guide calls for Life Sciences core revenue to be</w:t>
      </w:r>
      <w:r>
        <w:t xml:space="preserve"> </w:t>
      </w:r>
      <w:r>
        <w:rPr>
          <w:b/>
          <w:bCs/>
        </w:rPr>
        <w:t xml:space="preserve">up slightly</w:t>
      </w:r>
      <w:r>
        <w:t xml:space="preserve">, which is an important inflection from the 2.5% decline in Q2 2025.</w:t>
      </w:r>
    </w:p>
    <w:p>
      <w:pPr>
        <w:pStyle w:val="BodyText"/>
      </w:pPr>
      <w:r>
        <w:t xml:space="preserve">The market is likely to focus as much on orders as revenue. Instrument businesses can show improving bookings several quarters before the full benefit appears in reported sales.</w:t>
      </w:r>
    </w:p>
    <w:bookmarkStart w:id="16" w:name="positive-evidence"/>
    <w:p>
      <w:pPr>
        <w:pStyle w:val="Heading3"/>
      </w:pPr>
      <w:r>
        <w:t xml:space="preserve">Positive evidence</w:t>
      </w:r>
    </w:p>
    <w:p>
      <w:pPr>
        <w:pStyle w:val="Compact"/>
        <w:numPr>
          <w:ilvl w:val="0"/>
          <w:numId w:val="1007"/>
        </w:numPr>
      </w:pPr>
      <w:r>
        <w:t xml:space="preserve">Positive segment core growth, even if modest.</w:t>
      </w:r>
    </w:p>
    <w:p>
      <w:pPr>
        <w:pStyle w:val="Compact"/>
        <w:numPr>
          <w:ilvl w:val="0"/>
          <w:numId w:val="1007"/>
        </w:numPr>
      </w:pPr>
      <w:r>
        <w:t xml:space="preserve">Instrument orders growing faster than revenue.</w:t>
      </w:r>
    </w:p>
    <w:p>
      <w:pPr>
        <w:pStyle w:val="Compact"/>
        <w:numPr>
          <w:ilvl w:val="0"/>
          <w:numId w:val="1007"/>
        </w:numPr>
      </w:pPr>
      <w:r>
        <w:t xml:space="preserve">Aldevron and Abcam both contributing to growth.</w:t>
      </w:r>
    </w:p>
    <w:p>
      <w:pPr>
        <w:pStyle w:val="Compact"/>
        <w:numPr>
          <w:ilvl w:val="0"/>
          <w:numId w:val="1007"/>
        </w:numPr>
      </w:pPr>
      <w:r>
        <w:t xml:space="preserve">Better conversion of biotech funding into orders.</w:t>
      </w:r>
    </w:p>
    <w:p>
      <w:pPr>
        <w:pStyle w:val="Compact"/>
        <w:numPr>
          <w:ilvl w:val="0"/>
          <w:numId w:val="1007"/>
        </w:numPr>
      </w:pPr>
      <w:r>
        <w:t xml:space="preserve">Continued China improvement.</w:t>
      </w:r>
    </w:p>
    <w:p>
      <w:pPr>
        <w:pStyle w:val="Compact"/>
        <w:numPr>
          <w:ilvl w:val="0"/>
          <w:numId w:val="1007"/>
        </w:numPr>
      </w:pPr>
      <w:r>
        <w:t xml:space="preserve">Stable or improving academic demand rather than another leg down.</w:t>
      </w:r>
    </w:p>
    <w:bookmarkEnd w:id="16"/>
    <w:bookmarkStart w:id="17" w:name="negative-evidence"/>
    <w:p>
      <w:pPr>
        <w:pStyle w:val="Heading3"/>
      </w:pPr>
      <w:r>
        <w:t xml:space="preserve">Negative evidence</w:t>
      </w:r>
    </w:p>
    <w:p>
      <w:pPr>
        <w:pStyle w:val="Compact"/>
        <w:numPr>
          <w:ilvl w:val="0"/>
          <w:numId w:val="1008"/>
        </w:numPr>
      </w:pPr>
      <w:r>
        <w:t xml:space="preserve">Another core decline.</w:t>
      </w:r>
    </w:p>
    <w:p>
      <w:pPr>
        <w:pStyle w:val="Compact"/>
        <w:numPr>
          <w:ilvl w:val="0"/>
          <w:numId w:val="1008"/>
        </w:numPr>
      </w:pPr>
      <w:r>
        <w:t xml:space="preserve">Management pushing the expected recovery further into the future.</w:t>
      </w:r>
    </w:p>
    <w:p>
      <w:pPr>
        <w:pStyle w:val="Compact"/>
        <w:numPr>
          <w:ilvl w:val="0"/>
          <w:numId w:val="1008"/>
        </w:numPr>
      </w:pPr>
      <w:r>
        <w:t xml:space="preserve">Continued funnel improvement without order conversion.</w:t>
      </w:r>
    </w:p>
    <w:p>
      <w:pPr>
        <w:pStyle w:val="Compact"/>
        <w:numPr>
          <w:ilvl w:val="0"/>
          <w:numId w:val="1008"/>
        </w:numPr>
      </w:pPr>
      <w:r>
        <w:t xml:space="preserve">Academic weakness spreading into pharma or applied markets.</w:t>
      </w:r>
    </w:p>
    <w:p>
      <w:pPr>
        <w:pStyle w:val="FirstParagraph"/>
      </w:pPr>
      <w:r>
        <w:t xml:space="preserve">A modest Life Sciences beat would matter disproportionately because this segment is where investor confidence in the broader tools recovery remains weakest.</w:t>
      </w:r>
    </w:p>
    <w:p>
      <w:r>
        <w:pict>
          <v:rect style="width:0;height:1.5pt" o:hralign="center" o:hrstd="t" o:hr="t"/>
        </w:pict>
      </w:r>
    </w:p>
    <w:bookmarkEnd w:id="17"/>
    <w:bookmarkEnd w:id="18"/>
    <w:bookmarkStart w:id="20" w:name="Xf425633ea6fc3a391f53142057e8da1928c2803"/>
    <w:p>
      <w:pPr>
        <w:pStyle w:val="Heading2"/>
      </w:pPr>
      <w:r>
        <w:t xml:space="preserve">3. Diagnostics must demonstrate resilience beneath respiratory noise</w:t>
      </w:r>
    </w:p>
    <w:p>
      <w:pPr>
        <w:pStyle w:val="FirstParagraph"/>
      </w:pPr>
      <w:r>
        <w:t xml:space="preserve">Diagnostics core revenue declined 4% in Q1, principally because Cepheid respiratory revenue fell approximately 25% after a lighter-than-normal respiratory season. China Diagnostics also remained under pressure from volume-based procurement and reimbursement-policy changes.</w:t>
      </w:r>
    </w:p>
    <w:p>
      <w:pPr>
        <w:pStyle w:val="BodyText"/>
      </w:pPr>
      <w:r>
        <w:t xml:space="preserve">The underlying business was considerably healthier:</w:t>
      </w:r>
    </w:p>
    <w:p>
      <w:pPr>
        <w:pStyle w:val="Compact"/>
        <w:numPr>
          <w:ilvl w:val="0"/>
          <w:numId w:val="1009"/>
        </w:numPr>
      </w:pPr>
      <w:r>
        <w:t xml:space="preserve">Clinical Diagnostics grew low single digits.</w:t>
      </w:r>
    </w:p>
    <w:p>
      <w:pPr>
        <w:pStyle w:val="Compact"/>
        <w:numPr>
          <w:ilvl w:val="0"/>
          <w:numId w:val="1009"/>
        </w:numPr>
      </w:pPr>
      <w:r>
        <w:t xml:space="preserve">Diagnostics excluding China grew mid-single digits.</w:t>
      </w:r>
    </w:p>
    <w:p>
      <w:pPr>
        <w:pStyle w:val="Compact"/>
        <w:numPr>
          <w:ilvl w:val="0"/>
          <w:numId w:val="1009"/>
        </w:numPr>
      </w:pPr>
      <w:r>
        <w:t xml:space="preserve">Cepheid’s non-respiratory menu grew mid-teens.</w:t>
      </w:r>
    </w:p>
    <w:p>
      <w:pPr>
        <w:pStyle w:val="Compact"/>
        <w:numPr>
          <w:ilvl w:val="0"/>
          <w:numId w:val="1009"/>
        </w:numPr>
      </w:pPr>
      <w:r>
        <w:t xml:space="preserve">Sexual-health and hospital-acquired-infection assays grew approximately 20%.</w:t>
      </w:r>
    </w:p>
    <w:p>
      <w:pPr>
        <w:pStyle w:val="Compact"/>
        <w:numPr>
          <w:ilvl w:val="0"/>
          <w:numId w:val="1009"/>
        </w:numPr>
      </w:pPr>
      <w:r>
        <w:t xml:space="preserve">The new Xpert GI Panel showed strong early demand.</w:t>
      </w:r>
    </w:p>
    <w:p>
      <w:pPr>
        <w:pStyle w:val="Compact"/>
        <w:numPr>
          <w:ilvl w:val="0"/>
          <w:numId w:val="1009"/>
        </w:numPr>
      </w:pPr>
      <w:r>
        <w:t xml:space="preserve">Beckman Coulter continued expanding the DxI 9000 assay menu.</w:t>
      </w:r>
    </w:p>
    <w:p>
      <w:pPr>
        <w:pStyle w:val="FirstParagraph"/>
      </w:pPr>
      <w:r>
        <w:t xml:space="preserve">Management expects Q2 Diagnostics core revenue to be approximately flat. That bar should benefit from less respiratory seasonality, but investors will want confirmation that weakness is concentrated in known areas rather than spreading.</w:t>
      </w:r>
    </w:p>
    <w:bookmarkStart w:id="19" w:name="key-data-points"/>
    <w:p>
      <w:pPr>
        <w:pStyle w:val="Heading3"/>
      </w:pPr>
      <w:r>
        <w:t xml:space="preserve">Key data points</w:t>
      </w:r>
    </w:p>
    <w:p>
      <w:pPr>
        <w:numPr>
          <w:ilvl w:val="0"/>
          <w:numId w:val="1010"/>
        </w:numPr>
      </w:pPr>
      <w:r>
        <w:rPr>
          <w:b/>
          <w:bCs/>
        </w:rPr>
        <w:t xml:space="preserve">Cepheid respiratory outlook:</w:t>
      </w:r>
      <w:r>
        <w:br/>
      </w:r>
      <w:r>
        <w:t xml:space="preserve">The full-year forecast was reduced in Q1 to</w:t>
      </w:r>
      <w:r>
        <w:t xml:space="preserve"> </w:t>
      </w:r>
      <m:oMath>
        <m:r>
          <m:t>1.6</m:t>
        </m:r>
        <m:r>
          <m:rPr>
            <m:sty m:val="p"/>
          </m:rPr>
          <m:t>–</m:t>
        </m:r>
      </m:oMath>
      <w:r>
        <w:t xml:space="preserve">1.7 billion. Another reduction would challenge the offset assumptions elsewhere in the portfolio.</w:t>
      </w:r>
    </w:p>
    <w:p>
      <w:pPr>
        <w:numPr>
          <w:ilvl w:val="0"/>
          <w:numId w:val="1010"/>
        </w:numPr>
      </w:pPr>
      <w:r>
        <w:rPr>
          <w:b/>
          <w:bCs/>
        </w:rPr>
        <w:t xml:space="preserve">Non-respiratory Cepheid growth:</w:t>
      </w:r>
      <w:r>
        <w:br/>
      </w:r>
      <w:r>
        <w:t xml:space="preserve">Mid-teens growth is a major proof point for the installed-base and menu-expansion strategy.</w:t>
      </w:r>
    </w:p>
    <w:p>
      <w:pPr>
        <w:numPr>
          <w:ilvl w:val="0"/>
          <w:numId w:val="1010"/>
        </w:numPr>
      </w:pPr>
      <w:r>
        <w:rPr>
          <w:b/>
          <w:bCs/>
        </w:rPr>
        <w:t xml:space="preserve">China:</w:t>
      </w:r>
      <w:r>
        <w:br/>
      </w:r>
      <w:r>
        <w:t xml:space="preserve">Management previously estimated a</w:t>
      </w:r>
      <w:r>
        <w:t xml:space="preserve"> </w:t>
      </w:r>
      <m:oMath>
        <m:r>
          <m:t>75</m:t>
        </m:r>
        <m:r>
          <m:rPr>
            <m:sty m:val="p"/>
          </m:rPr>
          <m:t>–</m:t>
        </m:r>
      </m:oMath>
      <w:r>
        <w:t xml:space="preserve">100 million 2026 policy headwind. Volume had been somewhat better than expected, but pricing remains pressured.</w:t>
      </w:r>
    </w:p>
    <w:p>
      <w:pPr>
        <w:numPr>
          <w:ilvl w:val="0"/>
          <w:numId w:val="1010"/>
        </w:numPr>
      </w:pPr>
      <w:r>
        <w:rPr>
          <w:b/>
          <w:bCs/>
        </w:rPr>
        <w:t xml:space="preserve">Beckman Coulter:</w:t>
      </w:r>
      <w:r>
        <w:br/>
      </w:r>
      <w:r>
        <w:t xml:space="preserve">Investors should listen for DxI 9000 placements and reagent pull-through, particularly following recent menu expansion.</w:t>
      </w:r>
    </w:p>
    <w:p>
      <w:pPr>
        <w:pStyle w:val="FirstParagraph"/>
      </w:pPr>
      <w:r>
        <w:t xml:space="preserve">Flat Diagnostics growth with sustained non-respiratory momentum would be acceptable. A decline caused by incremental weakness outside respiratory and China would not be.</w:t>
      </w:r>
    </w:p>
    <w:p>
      <w:r>
        <w:pict>
          <v:rect style="width:0;height:1.5pt" o:hralign="center" o:hrstd="t" o:hr="t"/>
        </w:pict>
      </w:r>
    </w:p>
    <w:bookmarkEnd w:id="19"/>
    <w:bookmarkEnd w:id="20"/>
    <w:bookmarkStart w:id="21" w:name="X039002a82bd72eefc0ec366718b3ef188a8aca3"/>
    <w:p>
      <w:pPr>
        <w:pStyle w:val="Heading2"/>
      </w:pPr>
      <w:r>
        <w:t xml:space="preserve">4. Margin quality matters more than the EPS headline</w:t>
      </w:r>
    </w:p>
    <w:p>
      <w:pPr>
        <w:pStyle w:val="FirstParagraph"/>
      </w:pPr>
      <w:r>
        <w:t xml:space="preserve">Management guided to approximately</w:t>
      </w:r>
      <w:r>
        <w:t xml:space="preserve"> </w:t>
      </w:r>
      <w:r>
        <w:rPr>
          <w:b/>
          <w:bCs/>
        </w:rPr>
        <w:t xml:space="preserve">26.5% adjusted operating margin</w:t>
      </w:r>
      <w:r>
        <w:t xml:space="preserve">, close to the Street’s 26.6% expectation. That is well below Q1’s 30.2%, largely because of the normal sequential decline in high-margin respiratory revenue.</w:t>
      </w:r>
    </w:p>
    <w:p>
      <w:pPr>
        <w:pStyle w:val="BodyText"/>
      </w:pPr>
      <w:r>
        <w:t xml:space="preserve">The company also pulled some growth investments forward into Q2 after Q1 earnings exceeded expectations. This creates room for a modest margin beat if operating execution remains strong, but an outsized beat could raise questions about whether management is spending enough to support the recovery.</w:t>
      </w:r>
    </w:p>
    <w:p>
      <w:pPr>
        <w:pStyle w:val="BodyText"/>
      </w:pPr>
      <w:r>
        <w:t xml:space="preserve">Investors should separate:</w:t>
      </w:r>
    </w:p>
    <w:p>
      <w:pPr>
        <w:pStyle w:val="Compact"/>
        <w:numPr>
          <w:ilvl w:val="0"/>
          <w:numId w:val="1011"/>
        </w:numPr>
      </w:pPr>
      <w:r>
        <w:t xml:space="preserve">Margin upside from sustainable DBS productivity and pricing.</w:t>
      </w:r>
    </w:p>
    <w:p>
      <w:pPr>
        <w:pStyle w:val="Compact"/>
        <w:numPr>
          <w:ilvl w:val="0"/>
          <w:numId w:val="1011"/>
        </w:numPr>
      </w:pPr>
      <w:r>
        <w:t xml:space="preserve">Margin upside from temporarily restrained investment.</w:t>
      </w:r>
    </w:p>
    <w:p>
      <w:pPr>
        <w:pStyle w:val="Compact"/>
        <w:numPr>
          <w:ilvl w:val="0"/>
          <w:numId w:val="1011"/>
        </w:numPr>
      </w:pPr>
      <w:r>
        <w:t xml:space="preserve">Mix pressure from respiratory and Life Sciences instruments.</w:t>
      </w:r>
    </w:p>
    <w:p>
      <w:pPr>
        <w:pStyle w:val="Compact"/>
        <w:numPr>
          <w:ilvl w:val="0"/>
          <w:numId w:val="1011"/>
        </w:numPr>
      </w:pPr>
      <w:r>
        <w:t xml:space="preserve">FX, raw-material, and inflation effects.</w:t>
      </w:r>
    </w:p>
    <w:p>
      <w:pPr>
        <w:pStyle w:val="Compact"/>
        <w:numPr>
          <w:ilvl w:val="0"/>
          <w:numId w:val="1011"/>
        </w:numPr>
      </w:pPr>
      <w:r>
        <w:t xml:space="preserve">Masimo transaction and financing expenses, which may affect GAAP results more than adjusted figures.</w:t>
      </w:r>
    </w:p>
    <w:p>
      <w:pPr>
        <w:pStyle w:val="FirstParagraph"/>
      </w:pPr>
      <w:r>
        <w:t xml:space="preserve">The highest-quality result would combine approximately 2% or better core growth, a modest margin beat, and unchanged growth investments. A large EPS beat paired with weak orders would be less persuasive.</w:t>
      </w:r>
    </w:p>
    <w:p>
      <w:r>
        <w:pict>
          <v:rect style="width:0;height:1.5pt" o:hralign="center" o:hrstd="t" o:hr="t"/>
        </w:pict>
      </w:r>
    </w:p>
    <w:bookmarkEnd w:id="21"/>
    <w:bookmarkStart w:id="23" w:name="X970edb798c1f879b9ce8cfc833cf6fc183e02f6"/>
    <w:p>
      <w:pPr>
        <w:pStyle w:val="Heading2"/>
      </w:pPr>
      <w:r>
        <w:t xml:space="preserve">5. The second-half ramp must remain credible</w:t>
      </w:r>
    </w:p>
    <w:p>
      <w:pPr>
        <w:pStyle w:val="FirstParagraph"/>
      </w:pPr>
      <w:r>
        <w:t xml:space="preserve">Danaher began 2026 with low-single-digit first-half growth expectations but said several headwinds would fade through the year:</w:t>
      </w:r>
    </w:p>
    <w:p>
      <w:pPr>
        <w:pStyle w:val="Compact"/>
        <w:numPr>
          <w:ilvl w:val="0"/>
          <w:numId w:val="1012"/>
        </w:numPr>
      </w:pPr>
      <w:r>
        <w:t xml:space="preserve">China Diagnostics policy comparisons.</w:t>
      </w:r>
    </w:p>
    <w:p>
      <w:pPr>
        <w:pStyle w:val="Compact"/>
        <w:numPr>
          <w:ilvl w:val="0"/>
          <w:numId w:val="1012"/>
        </w:numPr>
      </w:pPr>
      <w:r>
        <w:t xml:space="preserve">Respiratory comparisons.</w:t>
      </w:r>
    </w:p>
    <w:p>
      <w:pPr>
        <w:pStyle w:val="Compact"/>
        <w:numPr>
          <w:ilvl w:val="0"/>
          <w:numId w:val="1012"/>
        </w:numPr>
      </w:pPr>
      <w:r>
        <w:t xml:space="preserve">Difficult Life Sciences comparisons.</w:t>
      </w:r>
    </w:p>
    <w:p>
      <w:pPr>
        <w:pStyle w:val="FirstParagraph"/>
      </w:pPr>
      <w:r>
        <w:t xml:space="preserve">Management estimated those items represented more than 300 basis points of first-half pressure and expected Danaher to exit Q4 at a mid-single-digit core-growth rate—even without a major end-market recovery.</w:t>
      </w:r>
    </w:p>
    <w:p>
      <w:pPr>
        <w:pStyle w:val="BodyText"/>
      </w:pPr>
      <w:r>
        <w:t xml:space="preserve">At the Street’s $1.84 Q2 EPS estimate, Danaher would have earned approximately $3.90 in the first half. Reaching the</w:t>
      </w:r>
      <w:r>
        <w:t xml:space="preserve"> </w:t>
      </w:r>
      <m:oMath>
        <m:r>
          <m:t>8.45</m:t>
        </m:r>
        <m:r>
          <m:t>m</m:t>
        </m:r>
        <m:r>
          <m:t>i</m:t>
        </m:r>
        <m:r>
          <m:t>d</m:t>
        </m:r>
        <m:r>
          <m:t>p</m:t>
        </m:r>
        <m:r>
          <m:t>o</m:t>
        </m:r>
        <m:r>
          <m:t>i</m:t>
        </m:r>
        <m:r>
          <m:t>n</m:t>
        </m:r>
        <m:r>
          <m:t>t</m:t>
        </m:r>
        <m:r>
          <m:t>o</m:t>
        </m:r>
        <m:r>
          <m:t>f</m:t>
        </m:r>
        <m:r>
          <m:t>f</m:t>
        </m:r>
        <m:r>
          <m:t>u</m:t>
        </m:r>
        <m:r>
          <m:t>l</m:t>
        </m:r>
        <m:r>
          <m:t>l</m:t>
        </m:r>
        <m:r>
          <m:rPr>
            <m:sty m:val="p"/>
          </m:rPr>
          <m:t>−</m:t>
        </m:r>
        <m:r>
          <m:t>y</m:t>
        </m:r>
        <m:r>
          <m:t>e</m:t>
        </m:r>
        <m:r>
          <m:t>a</m:t>
        </m:r>
        <m:r>
          <m:t>r</m:t>
        </m:r>
        <m:r>
          <m:t>g</m:t>
        </m:r>
        <m:r>
          <m:t>u</m:t>
        </m:r>
        <m:r>
          <m:t>i</m:t>
        </m:r>
        <m:r>
          <m:t>d</m:t>
        </m:r>
        <m:r>
          <m:t>a</m:t>
        </m:r>
        <m:r>
          <m:t>n</m:t>
        </m:r>
        <m:r>
          <m:t>c</m:t>
        </m:r>
        <m:r>
          <m:t>e</m:t>
        </m:r>
        <m:r>
          <m:t>w</m:t>
        </m:r>
        <m:r>
          <m:t>o</m:t>
        </m:r>
        <m:r>
          <m:t>u</m:t>
        </m:r>
        <m:r>
          <m:t>l</m:t>
        </m:r>
        <m:r>
          <m:t>d</m:t>
        </m:r>
        <m:r>
          <m:t>t</m:t>
        </m:r>
        <m:r>
          <m:t>h</m:t>
        </m:r>
        <m:r>
          <m:t>e</m:t>
        </m:r>
        <m:r>
          <m:t>n</m:t>
        </m:r>
        <m:r>
          <m:t>r</m:t>
        </m:r>
        <m:r>
          <m:t>e</m:t>
        </m:r>
        <m:r>
          <m:t>q</m:t>
        </m:r>
        <m:r>
          <m:t>u</m:t>
        </m:r>
        <m:r>
          <m:t>i</m:t>
        </m:r>
        <m:r>
          <m:t>r</m:t>
        </m:r>
        <m:r>
          <m:t>e</m:t>
        </m:r>
        <m:r>
          <m:t>a</m:t>
        </m:r>
        <m:r>
          <m:t>p</m:t>
        </m:r>
        <m:r>
          <m:t>p</m:t>
        </m:r>
        <m:r>
          <m:t>r</m:t>
        </m:r>
        <m:r>
          <m:t>o</m:t>
        </m:r>
        <m:r>
          <m:t>x</m:t>
        </m:r>
        <m:r>
          <m:t>i</m:t>
        </m:r>
        <m:r>
          <m:t>m</m:t>
        </m:r>
        <m:r>
          <m:t>a</m:t>
        </m:r>
        <m:r>
          <m:t>t</m:t>
        </m:r>
        <m:r>
          <m:t>e</m:t>
        </m:r>
        <m:r>
          <m:t>l</m:t>
        </m:r>
        <m:r>
          <m:t>y</m:t>
        </m:r>
        <m:r>
          <m:rPr>
            <m:sty m:val="p"/>
          </m:rPr>
          <m:t>*</m:t>
        </m:r>
        <m:r>
          <m:rPr>
            <m:sty m:val="p"/>
          </m:rPr>
          <m:t>*</m:t>
        </m:r>
      </m:oMath>
      <w:r>
        <w:t xml:space="preserve">4.55 in second-half EPS**, or about</w:t>
      </w:r>
      <w:r>
        <w:t xml:space="preserve"> </w:t>
      </w:r>
      <w:r>
        <w:rPr>
          <w:b/>
          <w:bCs/>
        </w:rPr>
        <w:t xml:space="preserve">$2.28 per quarter on average</w:t>
      </w:r>
      <w:r>
        <w:t xml:space="preserve">.</w:t>
      </w:r>
    </w:p>
    <w:p>
      <w:pPr>
        <w:pStyle w:val="BodyText"/>
      </w:pPr>
      <w:r>
        <w:t xml:space="preserve">That is achievable given normal seasonality, but it leaves the investment case dependent on better second-half revenue growth and continued margin execution.</w:t>
      </w:r>
    </w:p>
    <w:bookmarkStart w:id="22" w:name="the-most-important-guidance-questions"/>
    <w:p>
      <w:pPr>
        <w:pStyle w:val="Heading3"/>
      </w:pPr>
      <w:r>
        <w:t xml:space="preserve">The most important guidance questions</w:t>
      </w:r>
    </w:p>
    <w:p>
      <w:pPr>
        <w:pStyle w:val="Compact"/>
        <w:numPr>
          <w:ilvl w:val="0"/>
          <w:numId w:val="1013"/>
        </w:numPr>
      </w:pPr>
      <w:r>
        <w:t xml:space="preserve">Is 3% full-year core growth still comfortably achievable?</w:t>
      </w:r>
    </w:p>
    <w:p>
      <w:pPr>
        <w:pStyle w:val="Compact"/>
        <w:numPr>
          <w:ilvl w:val="0"/>
          <w:numId w:val="1013"/>
        </w:numPr>
      </w:pPr>
      <w:r>
        <w:t xml:space="preserve">Does management still expect mid-single-digit growth by Q4?</w:t>
      </w:r>
    </w:p>
    <w:p>
      <w:pPr>
        <w:pStyle w:val="Compact"/>
        <w:numPr>
          <w:ilvl w:val="0"/>
          <w:numId w:val="1013"/>
        </w:numPr>
      </w:pPr>
      <w:r>
        <w:t xml:space="preserve">Has the probability of reaching the upper half of the 3%–6% range increased?</w:t>
      </w:r>
    </w:p>
    <w:p>
      <w:pPr>
        <w:pStyle w:val="Compact"/>
        <w:numPr>
          <w:ilvl w:val="0"/>
          <w:numId w:val="1013"/>
        </w:numPr>
      </w:pPr>
      <w:r>
        <w:t xml:space="preserve">Can Life Sciences become a positive contributor in the second half?</w:t>
      </w:r>
    </w:p>
    <w:p>
      <w:pPr>
        <w:pStyle w:val="Compact"/>
        <w:numPr>
          <w:ilvl w:val="0"/>
          <w:numId w:val="1013"/>
        </w:numPr>
      </w:pPr>
      <w:r>
        <w:t xml:space="preserve">Will bioprocessing equipment contribute in 2026, or mainly in 2027?</w:t>
      </w:r>
    </w:p>
    <w:p>
      <w:pPr>
        <w:pStyle w:val="Compact"/>
        <w:numPr>
          <w:ilvl w:val="0"/>
          <w:numId w:val="1013"/>
        </w:numPr>
      </w:pPr>
      <w:r>
        <w:t xml:space="preserve">Is the</w:t>
      </w:r>
      <w:r>
        <w:t xml:space="preserve"> </w:t>
      </w:r>
      <m:oMath>
        <m:r>
          <m:t>1.6</m:t>
        </m:r>
        <m:r>
          <m:rPr>
            <m:sty m:val="p"/>
          </m:rPr>
          <m:t>–</m:t>
        </m:r>
      </m:oMath>
      <w:r>
        <w:t xml:space="preserve">1.7 billion respiratory forecast still intact?</w:t>
      </w:r>
    </w:p>
    <w:p>
      <w:pPr>
        <w:pStyle w:val="FirstParagraph"/>
      </w:pPr>
      <w:r>
        <w:t xml:space="preserve">A maintained guide would likely be sufficient if supported by stronger leading indicators. A guidance increase based solely on Q2 cost control would be less meaningful than improved organic-growth assumptions.</w:t>
      </w:r>
    </w:p>
    <w:p>
      <w:r>
        <w:pict>
          <v:rect style="width:0;height:1.5pt" o:hralign="center" o:hrstd="t" o:hr="t"/>
        </w:pict>
      </w:r>
    </w:p>
    <w:bookmarkEnd w:id="22"/>
    <w:bookmarkEnd w:id="23"/>
    <w:bookmarkStart w:id="24" w:name="X1d613aaa950f60ed7b8eb7d91e9ed4b92f121fe"/>
    <w:p>
      <w:pPr>
        <w:pStyle w:val="Heading2"/>
      </w:pPr>
      <w:r>
        <w:t xml:space="preserve">Masimo: likely secondary to the quarter, but strategically important</w:t>
      </w:r>
    </w:p>
    <w:p>
      <w:pPr>
        <w:pStyle w:val="FirstParagraph"/>
      </w:pPr>
      <w:r>
        <w:t xml:space="preserve">Masimo shareholders approved the Danaher transaction in May. Danaher has also issued approximately €3 billion of senior notes to fund part of the acquisition, which management previously expected to close later in 2026.</w:t>
      </w:r>
    </w:p>
    <w:p>
      <w:pPr>
        <w:pStyle w:val="BodyText"/>
      </w:pPr>
      <w:r>
        <w:t xml:space="preserve">The original deal framework included:</w:t>
      </w:r>
    </w:p>
    <w:p>
      <w:pPr>
        <w:pStyle w:val="Compact"/>
        <w:numPr>
          <w:ilvl w:val="0"/>
          <w:numId w:val="1014"/>
        </w:numPr>
      </w:pPr>
      <w:r>
        <w:t xml:space="preserve">First-full-year adjusted EPS accretion.</w:t>
      </w:r>
    </w:p>
    <w:p>
      <w:pPr>
        <w:pStyle w:val="Compact"/>
        <w:numPr>
          <w:ilvl w:val="0"/>
          <w:numId w:val="1014"/>
        </w:numPr>
      </w:pPr>
      <w:r>
        <w:t xml:space="preserve">High-single-digit return on invested capital by year five.</w:t>
      </w:r>
    </w:p>
    <w:p>
      <w:pPr>
        <w:pStyle w:val="Compact"/>
        <w:numPr>
          <w:ilvl w:val="0"/>
          <w:numId w:val="1014"/>
        </w:numPr>
      </w:pPr>
      <w:r>
        <w:t xml:space="preserve">Approximately $125 million of cost synergies by year five.</w:t>
      </w:r>
    </w:p>
    <w:p>
      <w:pPr>
        <w:pStyle w:val="Compact"/>
        <w:numPr>
          <w:ilvl w:val="0"/>
          <w:numId w:val="1014"/>
        </w:numPr>
      </w:pPr>
      <w:r>
        <w:t xml:space="preserve">Approximately $50 million of revenue synergies.</w:t>
      </w:r>
    </w:p>
    <w:p>
      <w:pPr>
        <w:pStyle w:val="Compact"/>
        <w:numPr>
          <w:ilvl w:val="0"/>
          <w:numId w:val="1014"/>
        </w:numPr>
      </w:pPr>
      <w:r>
        <w:t xml:space="preserve">Expected pro forma leverage of roughly 2.5 times net debt to EBITDA following closing.</w:t>
      </w:r>
    </w:p>
    <w:p>
      <w:pPr>
        <w:pStyle w:val="FirstParagraph"/>
      </w:pPr>
      <w:r>
        <w:t xml:space="preserve">Investors should listen for:</w:t>
      </w:r>
    </w:p>
    <w:p>
      <w:pPr>
        <w:pStyle w:val="Compact"/>
        <w:numPr>
          <w:ilvl w:val="0"/>
          <w:numId w:val="1015"/>
        </w:numPr>
      </w:pPr>
      <w:r>
        <w:t xml:space="preserve">Regulatory progress and expected closing timing.</w:t>
      </w:r>
    </w:p>
    <w:p>
      <w:pPr>
        <w:pStyle w:val="Compact"/>
        <w:numPr>
          <w:ilvl w:val="0"/>
          <w:numId w:val="1015"/>
        </w:numPr>
      </w:pPr>
      <w:r>
        <w:t xml:space="preserve">Whether transaction economics have changed.</w:t>
      </w:r>
    </w:p>
    <w:p>
      <w:pPr>
        <w:pStyle w:val="Compact"/>
        <w:numPr>
          <w:ilvl w:val="0"/>
          <w:numId w:val="1015"/>
        </w:numPr>
      </w:pPr>
      <w:r>
        <w:t xml:space="preserve">Initial integration priorities.</w:t>
      </w:r>
    </w:p>
    <w:p>
      <w:pPr>
        <w:pStyle w:val="Compact"/>
        <w:numPr>
          <w:ilvl w:val="0"/>
          <w:numId w:val="1015"/>
        </w:numPr>
      </w:pPr>
      <w:r>
        <w:t xml:space="preserve">The treatment of incremental interest expense in updated guidance.</w:t>
      </w:r>
    </w:p>
    <w:p>
      <w:pPr>
        <w:pStyle w:val="Compact"/>
        <w:numPr>
          <w:ilvl w:val="0"/>
          <w:numId w:val="1015"/>
        </w:numPr>
      </w:pPr>
      <w:r>
        <w:t xml:space="preserve">Management’s willingness to pursue additional M&amp;A while integrating Masimo.</w:t>
      </w:r>
    </w:p>
    <w:p>
      <w:pPr>
        <w:pStyle w:val="FirstParagraph"/>
      </w:pPr>
      <w:r>
        <w:t xml:space="preserve">The deal is unlikely to determine the immediate earnings reaction unless there is a closing delay or a meaningful change in financing or synergy assumptions.</w:t>
      </w:r>
    </w:p>
    <w:p>
      <w:r>
        <w:pict>
          <v:rect style="width:0;height:1.5pt" o:hralign="center" o:hrstd="t" o:hr="t"/>
        </w:pict>
      </w:r>
    </w:p>
    <w:bookmarkEnd w:id="24"/>
    <w:bookmarkStart w:id="25" w:name="stock-setup"/>
    <w:p>
      <w:pPr>
        <w:pStyle w:val="Heading2"/>
      </w:pPr>
      <w:r>
        <w:t xml:space="preserve">Stock setup</w:t>
      </w:r>
    </w:p>
    <w:p>
      <w:pPr>
        <w:pStyle w:val="FirstParagraph"/>
      </w:pPr>
      <w:r>
        <w:t xml:space="preserve">DHR closed July 20 at</w:t>
      </w:r>
      <w:r>
        <w:t xml:space="preserve"> </w:t>
      </w:r>
      <w:r>
        <w:rPr>
          <w:b/>
          <w:bCs/>
        </w:rPr>
        <w:t xml:space="preserve">$201.15</w:t>
      </w:r>
      <w:r>
        <w:t xml:space="preserve">, approximately 13% below its January 2 close but about 24% above its May 15 low.</w:t>
      </w:r>
    </w:p>
    <w:p>
      <w:pPr>
        <w:pStyle w:val="BodyText"/>
      </w:pPr>
      <w:r>
        <w:t xml:space="preserve">At the midpoint of existing 2026 adjusted EPS guidance, the stock trades at roughly</w:t>
      </w:r>
      <w:r>
        <w:t xml:space="preserve"> </w:t>
      </w:r>
      <w:r>
        <w:rPr>
          <w:b/>
          <w:bCs/>
        </w:rPr>
        <w:t xml:space="preserve">24 times current-year earnings</w:t>
      </w:r>
      <w:r>
        <w:t xml:space="preserve">. The valuation is no longer at the most distressed levels reached in May, but it remains well below where the shares began 2026.</w:t>
      </w:r>
    </w:p>
    <w:p>
      <w:pPr>
        <w:pStyle w:val="BodyText"/>
      </w:pPr>
      <w:r>
        <w:t xml:space="preserve">That creates a mixed setup:</w:t>
      </w:r>
    </w:p>
    <w:p>
      <w:pPr>
        <w:pStyle w:val="Compact"/>
        <w:numPr>
          <w:ilvl w:val="0"/>
          <w:numId w:val="1016"/>
        </w:numPr>
      </w:pPr>
      <w:r>
        <w:t xml:space="preserve">The recent recovery suggests some improving industry data are already priced in.</w:t>
      </w:r>
    </w:p>
    <w:p>
      <w:pPr>
        <w:pStyle w:val="Compact"/>
        <w:numPr>
          <w:ilvl w:val="0"/>
          <w:numId w:val="1016"/>
        </w:numPr>
      </w:pPr>
      <w:r>
        <w:t xml:space="preserve">The year-to-date decline means expectations are not especially demanding.</w:t>
      </w:r>
    </w:p>
    <w:p>
      <w:pPr>
        <w:pStyle w:val="Compact"/>
        <w:numPr>
          <w:ilvl w:val="0"/>
          <w:numId w:val="1016"/>
        </w:numPr>
      </w:pPr>
      <w:r>
        <w:t xml:space="preserve">A routine EPS beat may not be enough after the rebound.</w:t>
      </w:r>
    </w:p>
    <w:p>
      <w:pPr>
        <w:pStyle w:val="Compact"/>
        <w:numPr>
          <w:ilvl w:val="0"/>
          <w:numId w:val="1016"/>
        </w:numPr>
      </w:pPr>
      <w:r>
        <w:t xml:space="preserve">A credible organic-growth inflection could support further multiple recovery.</w:t>
      </w:r>
    </w:p>
    <w:p>
      <w:r>
        <w:pict>
          <v:rect style="width:0;height:1.5pt" o:hralign="center" o:hrstd="t" o:hr="t"/>
        </w:pict>
      </w:r>
    </w:p>
    <w:bookmarkEnd w:id="25"/>
    <w:bookmarkStart w:id="29" w:name="scenario-analysis"/>
    <w:p>
      <w:pPr>
        <w:pStyle w:val="Heading2"/>
      </w:pPr>
      <w:r>
        <w:t xml:space="preserve">Scenario analysis</w:t>
      </w:r>
    </w:p>
    <w:bookmarkStart w:id="26" w:name="bull-case"/>
    <w:p>
      <w:pPr>
        <w:pStyle w:val="Heading3"/>
      </w:pPr>
      <w:r>
        <w:t xml:space="preserve">Bull case</w:t>
      </w:r>
    </w:p>
    <w:p>
      <w:pPr>
        <w:pStyle w:val="Compact"/>
        <w:numPr>
          <w:ilvl w:val="0"/>
          <w:numId w:val="1017"/>
        </w:numPr>
      </w:pPr>
      <w:r>
        <w:t xml:space="preserve">Core revenue growth of 2%–3% or better.</w:t>
      </w:r>
    </w:p>
    <w:p>
      <w:pPr>
        <w:pStyle w:val="Compact"/>
        <w:numPr>
          <w:ilvl w:val="0"/>
          <w:numId w:val="1017"/>
        </w:numPr>
      </w:pPr>
      <w:r>
        <w:t xml:space="preserve">Biotechnology equipment orders remain strong.</w:t>
      </w:r>
    </w:p>
    <w:p>
      <w:pPr>
        <w:pStyle w:val="Compact"/>
        <w:numPr>
          <w:ilvl w:val="0"/>
          <w:numId w:val="1017"/>
        </w:numPr>
      </w:pPr>
      <w:r>
        <w:t xml:space="preserve">Life Sciences returns to positive core growth with improving instrument orders.</w:t>
      </w:r>
    </w:p>
    <w:p>
      <w:pPr>
        <w:pStyle w:val="Compact"/>
        <w:numPr>
          <w:ilvl w:val="0"/>
          <w:numId w:val="1017"/>
        </w:numPr>
      </w:pPr>
      <w:r>
        <w:t xml:space="preserve">Diagnostics is flat or better, with continued mid-teens non-respiratory Cepheid growth.</w:t>
      </w:r>
    </w:p>
    <w:p>
      <w:pPr>
        <w:pStyle w:val="Compact"/>
        <w:numPr>
          <w:ilvl w:val="0"/>
          <w:numId w:val="1017"/>
        </w:numPr>
      </w:pPr>
      <w:r>
        <w:t xml:space="preserve">Adjusted operating margin exceeds 26.5% without reduced growth investment.</w:t>
      </w:r>
    </w:p>
    <w:p>
      <w:pPr>
        <w:pStyle w:val="Compact"/>
        <w:numPr>
          <w:ilvl w:val="0"/>
          <w:numId w:val="1017"/>
        </w:numPr>
      </w:pPr>
      <w:r>
        <w:t xml:space="preserve">Full-year guidance is maintained with increased confidence around the midpoint or modestly raised.</w:t>
      </w:r>
    </w:p>
    <w:p>
      <w:pPr>
        <w:pStyle w:val="Compact"/>
        <w:numPr>
          <w:ilvl w:val="0"/>
          <w:numId w:val="1017"/>
        </w:numPr>
      </w:pPr>
      <w:r>
        <w:t xml:space="preserve">Management reiterates a mid-single-digit Q4 growth exit rate.</w:t>
      </w:r>
    </w:p>
    <w:p>
      <w:pPr>
        <w:pStyle w:val="FirstParagraph"/>
      </w:pPr>
      <w:r>
        <w:t xml:space="preserve">This would strengthen the argument that Danaher is transitioning from post-pandemic normalization into a genuine cyclical and structural recovery.</w:t>
      </w:r>
    </w:p>
    <w:bookmarkEnd w:id="26"/>
    <w:bookmarkStart w:id="27" w:name="base-case"/>
    <w:p>
      <w:pPr>
        <w:pStyle w:val="Heading3"/>
      </w:pPr>
      <w:r>
        <w:t xml:space="preserve">Base case</w:t>
      </w:r>
    </w:p>
    <w:p>
      <w:pPr>
        <w:pStyle w:val="Compact"/>
        <w:numPr>
          <w:ilvl w:val="0"/>
          <w:numId w:val="1018"/>
        </w:numPr>
      </w:pPr>
      <w:r>
        <w:t xml:space="preserve">Core growth near 2%.</w:t>
      </w:r>
    </w:p>
    <w:p>
      <w:pPr>
        <w:pStyle w:val="Compact"/>
        <w:numPr>
          <w:ilvl w:val="0"/>
          <w:numId w:val="1018"/>
        </w:numPr>
      </w:pPr>
      <w:r>
        <w:t xml:space="preserve">Adjusted EPS around</w:t>
      </w:r>
      <w:r>
        <w:t xml:space="preserve"> </w:t>
      </w:r>
      <m:oMath>
        <m:r>
          <m:t>1.84</m:t>
        </m:r>
        <m:r>
          <m:rPr>
            <m:sty m:val="p"/>
          </m:rPr>
          <m:t>–</m:t>
        </m:r>
      </m:oMath>
      <w:r>
        <w:t xml:space="preserve">1.88.</w:t>
      </w:r>
    </w:p>
    <w:p>
      <w:pPr>
        <w:pStyle w:val="Compact"/>
        <w:numPr>
          <w:ilvl w:val="0"/>
          <w:numId w:val="1018"/>
        </w:numPr>
      </w:pPr>
      <w:r>
        <w:t xml:space="preserve">Margin near 26.5%.</w:t>
      </w:r>
    </w:p>
    <w:p>
      <w:pPr>
        <w:pStyle w:val="Compact"/>
        <w:numPr>
          <w:ilvl w:val="0"/>
          <w:numId w:val="1018"/>
        </w:numPr>
      </w:pPr>
      <w:r>
        <w:t xml:space="preserve">Biotechnology remains solid but equipment revenue is still slow to convert.</w:t>
      </w:r>
    </w:p>
    <w:p>
      <w:pPr>
        <w:pStyle w:val="Compact"/>
        <w:numPr>
          <w:ilvl w:val="0"/>
          <w:numId w:val="1018"/>
        </w:numPr>
      </w:pPr>
      <w:r>
        <w:t xml:space="preserve">Life Sciences is approximately flat to slightly positive.</w:t>
      </w:r>
    </w:p>
    <w:p>
      <w:pPr>
        <w:pStyle w:val="Compact"/>
        <w:numPr>
          <w:ilvl w:val="0"/>
          <w:numId w:val="1018"/>
        </w:numPr>
      </w:pPr>
      <w:r>
        <w:t xml:space="preserve">Diagnostics is approximately flat.</w:t>
      </w:r>
    </w:p>
    <w:p>
      <w:pPr>
        <w:pStyle w:val="Compact"/>
        <w:numPr>
          <w:ilvl w:val="0"/>
          <w:numId w:val="1018"/>
        </w:numPr>
      </w:pPr>
      <w:r>
        <w:t xml:space="preserve">Full-year guidance is reiterated, with management continuing to anchor toward the lower half of the core-growth range.</w:t>
      </w:r>
    </w:p>
    <w:p>
      <w:pPr>
        <w:pStyle w:val="FirstParagraph"/>
      </w:pPr>
      <w:r>
        <w:t xml:space="preserve">The stock reaction would probably depend on bookings and management’s tone rather than the reported EPS variance.</w:t>
      </w:r>
    </w:p>
    <w:bookmarkEnd w:id="27"/>
    <w:bookmarkStart w:id="28" w:name="bear-case"/>
    <w:p>
      <w:pPr>
        <w:pStyle w:val="Heading3"/>
      </w:pPr>
      <w:r>
        <w:t xml:space="preserve">Bear case</w:t>
      </w:r>
    </w:p>
    <w:p>
      <w:pPr>
        <w:pStyle w:val="Compact"/>
        <w:numPr>
          <w:ilvl w:val="0"/>
          <w:numId w:val="1019"/>
        </w:numPr>
      </w:pPr>
      <w:r>
        <w:t xml:space="preserve">Core growth below 1%.</w:t>
      </w:r>
    </w:p>
    <w:p>
      <w:pPr>
        <w:pStyle w:val="Compact"/>
        <w:numPr>
          <w:ilvl w:val="0"/>
          <w:numId w:val="1019"/>
        </w:numPr>
      </w:pPr>
      <w:r>
        <w:t xml:space="preserve">Bioprocessing equipment orders weaken materially.</w:t>
      </w:r>
    </w:p>
    <w:p>
      <w:pPr>
        <w:pStyle w:val="Compact"/>
        <w:numPr>
          <w:ilvl w:val="0"/>
          <w:numId w:val="1019"/>
        </w:numPr>
      </w:pPr>
      <w:r>
        <w:t xml:space="preserve">Life Sciences remains negative.</w:t>
      </w:r>
    </w:p>
    <w:p>
      <w:pPr>
        <w:pStyle w:val="Compact"/>
        <w:numPr>
          <w:ilvl w:val="0"/>
          <w:numId w:val="1019"/>
        </w:numPr>
      </w:pPr>
      <w:r>
        <w:t xml:space="preserve">Diagnostics declines beyond known respiratory and China pressures.</w:t>
      </w:r>
    </w:p>
    <w:p>
      <w:pPr>
        <w:pStyle w:val="Compact"/>
        <w:numPr>
          <w:ilvl w:val="0"/>
          <w:numId w:val="1019"/>
        </w:numPr>
      </w:pPr>
      <w:r>
        <w:t xml:space="preserve">Margin or EPS is protected primarily through lower spending.</w:t>
      </w:r>
    </w:p>
    <w:p>
      <w:pPr>
        <w:pStyle w:val="Compact"/>
        <w:numPr>
          <w:ilvl w:val="0"/>
          <w:numId w:val="1019"/>
        </w:numPr>
      </w:pPr>
      <w:r>
        <w:t xml:space="preserve">Respiratory guidance is reduced again.</w:t>
      </w:r>
    </w:p>
    <w:p>
      <w:pPr>
        <w:pStyle w:val="Compact"/>
        <w:numPr>
          <w:ilvl w:val="0"/>
          <w:numId w:val="1019"/>
        </w:numPr>
      </w:pPr>
      <w:r>
        <w:t xml:space="preserve">Management questions the Q4 mid-single-digit exit rate or lowers full-year guidance.</w:t>
      </w:r>
    </w:p>
    <w:p>
      <w:pPr>
        <w:pStyle w:val="FirstParagraph"/>
      </w:pPr>
      <w:r>
        <w:t xml:space="preserve">That result would suggest the recovery is being pushed into 2027 and could renew concerns about end-market growth and earnings quality.</w:t>
      </w:r>
    </w:p>
    <w:p>
      <w:r>
        <w:pict>
          <v:rect style="width:0;height:1.5pt" o:hralign="center" o:hrstd="t" o:hr="t"/>
        </w:pict>
      </w:r>
    </w:p>
    <w:bookmarkEnd w:id="28"/>
    <w:bookmarkEnd w:id="29"/>
    <w:bookmarkStart w:id="30" w:name="questions-investors-should-want-answered"/>
    <w:p>
      <w:pPr>
        <w:pStyle w:val="Heading2"/>
      </w:pPr>
      <w:r>
        <w:t xml:space="preserve">Questions investors should want answered</w:t>
      </w:r>
    </w:p>
    <w:p>
      <w:pPr>
        <w:pStyle w:val="Compact"/>
        <w:numPr>
          <w:ilvl w:val="0"/>
          <w:numId w:val="1020"/>
        </w:numPr>
      </w:pPr>
      <w:r>
        <w:t xml:space="preserve">Did bioprocessing equipment orders grow year over year again, and what was book-to-bill?</w:t>
      </w:r>
    </w:p>
    <w:p>
      <w:pPr>
        <w:pStyle w:val="Compact"/>
        <w:numPr>
          <w:ilvl w:val="0"/>
          <w:numId w:val="1020"/>
        </w:numPr>
      </w:pPr>
      <w:r>
        <w:t xml:space="preserve">How much of the equipment backlog is expected to convert during the second half of 2026?</w:t>
      </w:r>
    </w:p>
    <w:p>
      <w:pPr>
        <w:pStyle w:val="Compact"/>
        <w:numPr>
          <w:ilvl w:val="0"/>
          <w:numId w:val="1020"/>
        </w:numPr>
      </w:pPr>
      <w:r>
        <w:t xml:space="preserve">Are larger greenfield projects entering the order pipeline?</w:t>
      </w:r>
    </w:p>
    <w:p>
      <w:pPr>
        <w:pStyle w:val="Compact"/>
        <w:numPr>
          <w:ilvl w:val="0"/>
          <w:numId w:val="1020"/>
        </w:numPr>
      </w:pPr>
      <w:r>
        <w:t xml:space="preserve">Have improved biotech funding conditions translated into actual Life Sciences orders?</w:t>
      </w:r>
    </w:p>
    <w:p>
      <w:pPr>
        <w:pStyle w:val="Compact"/>
        <w:numPr>
          <w:ilvl w:val="0"/>
          <w:numId w:val="1020"/>
        </w:numPr>
      </w:pPr>
      <w:r>
        <w:t xml:space="preserve">Is North American academic demand stabilizing?</w:t>
      </w:r>
    </w:p>
    <w:p>
      <w:pPr>
        <w:pStyle w:val="Compact"/>
        <w:numPr>
          <w:ilvl w:val="0"/>
          <w:numId w:val="1020"/>
        </w:numPr>
      </w:pPr>
      <w:r>
        <w:t xml:space="preserve">Are Aldevron and Abcam both growing, and how are their margins progressing?</w:t>
      </w:r>
    </w:p>
    <w:p>
      <w:pPr>
        <w:pStyle w:val="Compact"/>
        <w:numPr>
          <w:ilvl w:val="0"/>
          <w:numId w:val="1020"/>
        </w:numPr>
      </w:pPr>
      <w:r>
        <w:t xml:space="preserve">Is Cepheid’s non-respiratory menu still growing at a mid-teens rate?</w:t>
      </w:r>
    </w:p>
    <w:p>
      <w:pPr>
        <w:pStyle w:val="Compact"/>
        <w:numPr>
          <w:ilvl w:val="0"/>
          <w:numId w:val="1020"/>
        </w:numPr>
      </w:pPr>
      <w:r>
        <w:t xml:space="preserve">Is the</w:t>
      </w:r>
      <w:r>
        <w:t xml:space="preserve"> </w:t>
      </w:r>
      <m:oMath>
        <m:r>
          <m:t>1.6</m:t>
        </m:r>
        <m:r>
          <m:rPr>
            <m:sty m:val="p"/>
          </m:rPr>
          <m:t>–</m:t>
        </m:r>
      </m:oMath>
      <w:r>
        <w:t xml:space="preserve">1.7 billion respiratory forecast unchanged?</w:t>
      </w:r>
    </w:p>
    <w:p>
      <w:pPr>
        <w:pStyle w:val="Compact"/>
        <w:numPr>
          <w:ilvl w:val="0"/>
          <w:numId w:val="1020"/>
        </w:numPr>
      </w:pPr>
      <w:r>
        <w:t xml:space="preserve">Are China Diagnostics volumes continuing to offset some of the pricing pressure?</w:t>
      </w:r>
    </w:p>
    <w:p>
      <w:pPr>
        <w:pStyle w:val="Compact"/>
        <w:numPr>
          <w:ilvl w:val="0"/>
          <w:numId w:val="1020"/>
        </w:numPr>
      </w:pPr>
      <w:r>
        <w:t xml:space="preserve">Does management still expect to exit Q4 at mid-single-digit core growth without assuming broad end-market improvement?</w:t>
      </w:r>
    </w:p>
    <w:p>
      <w:pPr>
        <w:pStyle w:val="Compact"/>
        <w:numPr>
          <w:ilvl w:val="0"/>
          <w:numId w:val="1020"/>
        </w:numPr>
      </w:pPr>
      <w:r>
        <w:t xml:space="preserve">What is the latest Masimo closing timetable and updated interest-expense impact?</w:t>
      </w:r>
    </w:p>
    <w:p>
      <w:pPr>
        <w:pStyle w:val="Compact"/>
        <w:numPr>
          <w:ilvl w:val="0"/>
          <w:numId w:val="1020"/>
        </w:numPr>
      </w:pPr>
      <w:r>
        <w:t xml:space="preserve">How should investors think about incremental margins as revenue growth returns?</w:t>
      </w:r>
    </w:p>
    <w:p>
      <w:r>
        <w:pict>
          <v:rect style="width:0;height:1.5pt" o:hralign="center" o:hrstd="t" o:hr="t"/>
        </w:pict>
      </w:r>
    </w:p>
    <w:bookmarkEnd w:id="30"/>
    <w:bookmarkStart w:id="31" w:name="bottom-line"/>
    <w:p>
      <w:pPr>
        <w:pStyle w:val="Heading2"/>
      </w:pPr>
      <w:r>
        <w:t xml:space="preserve">Bottom line</w:t>
      </w:r>
    </w:p>
    <w:p>
      <w:pPr>
        <w:pStyle w:val="FirstParagraph"/>
      </w:pPr>
      <w:r>
        <w:t xml:space="preserve">The Q2 numerical bar is manageable: approximately</w:t>
      </w:r>
      <w:r>
        <w:t xml:space="preserve"> </w:t>
      </w:r>
      <w:r>
        <w:rPr>
          <w:b/>
          <w:bCs/>
        </w:rPr>
        <w:t xml:space="preserve">2% organic growth, $1.84 adjusted EPS, and a 26.5%–26.6% adjusted operating margin</w:t>
      </w:r>
      <w:r>
        <w:t xml:space="preserve">. The harder test is whether the report provides enough evidence that Danaher can accelerate from low-single-digit first-half growth to mid-single-digit growth by year-end.</w:t>
      </w:r>
    </w:p>
    <w:p>
      <w:pPr>
        <w:pStyle w:val="BodyText"/>
      </w:pPr>
      <w:r>
        <w:t xml:space="preserve">The most important indicators are</w:t>
      </w:r>
      <w:r>
        <w:t xml:space="preserve"> </w:t>
      </w:r>
      <w:r>
        <w:rPr>
          <w:b/>
          <w:bCs/>
        </w:rPr>
        <w:t xml:space="preserve">bioprocessing equipment orders, Life Sciences bookings, non-respiratory Cepheid growth, and management’s confidence in the second-half ramp</w:t>
      </w:r>
      <w:r>
        <w:t xml:space="preserve">. If those improve, investors can look past a merely in-line Q2. If they disappoint, even another DBS-supported EPS beat may not be enough.</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2026-07-21T00:04:36Z</dcterms:created>
  <dcterms:modified xsi:type="dcterms:W3CDTF">2026-07-21T00:04:36Z</dcterms:modified>
</cp:coreProperties>
</file>

<file path=docProps/custom.xml><?xml version="1.0" encoding="utf-8"?>
<Properties xmlns="http://schemas.openxmlformats.org/officeDocument/2006/custom-properties" xmlns:vt="http://schemas.openxmlformats.org/officeDocument/2006/docPropsVTypes"/>
</file>