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danaher-nyse-dhr--2q26-earnings-preview"/>
    <w:p>
      <w:pPr>
        <w:pStyle w:val="Heading1"/>
      </w:pPr>
      <w:r>
        <w:t xml:space="preserve">Danaher (NYSE: DHR) — 2Q26 Earnings Preview</w:t>
      </w:r>
    </w:p>
    <w:p>
      <w:pPr>
        <w:pStyle w:val="FirstParagraph"/>
      </w:pPr>
      <w:r>
        <w:rPr>
          <w:b/>
          <w:bCs/>
        </w:rPr>
        <w:t xml:space="preserve">Event:</w:t>
      </w:r>
      <w:r>
        <w:t xml:space="preserve"> </w:t>
      </w:r>
      <w:r>
        <w:t xml:space="preserve">Tuesday, July 21, 2026, before the U.S. market open</w:t>
      </w:r>
      <w:r>
        <w:br/>
      </w:r>
      <w:r>
        <w:rPr>
          <w:b/>
          <w:bCs/>
        </w:rPr>
        <w:t xml:space="preserve">Focus:</w:t>
      </w:r>
      <w:r>
        <w:t xml:space="preserve"> </w:t>
      </w:r>
      <w:r>
        <w:t xml:space="preserve">Whether Danaher can validate the expected acceleration from a soft 1Q into a mid-single-digit organic-growth exit rate in 4Q.</w:t>
      </w:r>
    </w:p>
    <w:bookmarkStart w:id="9" w:name="executive-view"/>
    <w:p>
      <w:pPr>
        <w:pStyle w:val="Heading2"/>
      </w:pPr>
      <w:r>
        <w:t xml:space="preserve">Executive view</w:t>
      </w:r>
    </w:p>
    <w:p>
      <w:pPr>
        <w:pStyle w:val="FirstParagraph"/>
      </w:pPr>
      <w:r>
        <w:t xml:space="preserve">Danaher enters 2Q with the key debate shifting from</w:t>
      </w:r>
      <w:r>
        <w:t xml:space="preserve"> </w:t>
      </w:r>
      <w:r>
        <w:rPr>
          <w:b/>
          <w:bCs/>
        </w:rPr>
        <w:t xml:space="preserve">near-term earnings execution</w:t>
      </w:r>
      <w:r>
        <w:t xml:space="preserve"> </w:t>
      </w:r>
      <w:r>
        <w:t xml:space="preserve">to the</w:t>
      </w:r>
      <w:r>
        <w:t xml:space="preserve"> </w:t>
      </w:r>
      <w:r>
        <w:rPr>
          <w:b/>
          <w:bCs/>
        </w:rPr>
        <w:t xml:space="preserve">credibility and timing of the organic-growth recovery</w:t>
      </w:r>
      <w:r>
        <w:t xml:space="preserve">. Management’s 1Q results showed a business that is improving underneath several known headwinds: core growth was only</w:t>
      </w:r>
      <w:r>
        <w:t xml:space="preserve"> </w:t>
      </w:r>
      <w:r>
        <w:rPr>
          <w:b/>
          <w:bCs/>
        </w:rPr>
        <w:t xml:space="preserve">+0.5%</w:t>
      </w:r>
      <w:r>
        <w:t xml:space="preserve">, but was roughly</w:t>
      </w:r>
      <w:r>
        <w:t xml:space="preserve"> </w:t>
      </w:r>
      <w:r>
        <w:rPr>
          <w:b/>
          <w:bCs/>
        </w:rPr>
        <w:t xml:space="preserve">+3% excluding respiratory testing</w:t>
      </w:r>
      <w:r>
        <w:t xml:space="preserve">. Biotechnology was strong, Life Sciences stabilized earlier than expected, and Diagnostics ex-China/respiratory remained healthy.</w:t>
      </w:r>
    </w:p>
    <w:p>
      <w:pPr>
        <w:pStyle w:val="BodyText"/>
      </w:pPr>
      <w:r>
        <w:t xml:space="preserve">For 2Q, the company has guided to</w:t>
      </w:r>
      <w:r>
        <w:t xml:space="preserve"> </w:t>
      </w:r>
      <w:r>
        <w:rPr>
          <w:b/>
          <w:bCs/>
        </w:rPr>
        <w:t xml:space="preserve">low-single-digit core revenue growth</w:t>
      </w:r>
      <w:r>
        <w:t xml:space="preserve"> </w:t>
      </w:r>
      <w:r>
        <w:t xml:space="preserve">and roughly</w:t>
      </w:r>
      <w:r>
        <w:t xml:space="preserve"> </w:t>
      </w:r>
      <w:r>
        <w:rPr>
          <w:b/>
          <w:bCs/>
        </w:rPr>
        <w:t xml:space="preserve">26.5% adjusted operating margin</w:t>
      </w:r>
      <w:r>
        <w:t xml:space="preserve">. Street expectations are approximately</w:t>
      </w:r>
      <w:r>
        <w:t xml:space="preserve"> </w:t>
      </w:r>
      <w:r>
        <w:rPr>
          <w:b/>
          <w:bCs/>
        </w:rPr>
        <w:t xml:space="preserve">2% organic growth, $1.84 of adjusted EPS, and 26.6% adjusted operating margin</w:t>
      </w:r>
      <w:r>
        <w:t xml:space="preserve">.</w:t>
      </w:r>
    </w:p>
    <w:p>
      <w:pPr>
        <w:pStyle w:val="BodyText"/>
      </w:pPr>
      <w:r>
        <w:t xml:space="preserve">The setup is therefore less about a large 2Q beat and more about three questions:</w:t>
      </w:r>
    </w:p>
    <w:p>
      <w:pPr>
        <w:pStyle w:val="Compact"/>
        <w:numPr>
          <w:ilvl w:val="0"/>
          <w:numId w:val="1001"/>
        </w:numPr>
      </w:pPr>
      <w:r>
        <w:rPr>
          <w:b/>
          <w:bCs/>
        </w:rPr>
        <w:t xml:space="preserve">Does Bioprocessing remain robust—and do equipment orders continue to support a 2027 recovery?</w:t>
      </w:r>
    </w:p>
    <w:p>
      <w:pPr>
        <w:pStyle w:val="Compact"/>
        <w:numPr>
          <w:ilvl w:val="0"/>
          <w:numId w:val="1001"/>
        </w:numPr>
      </w:pPr>
      <w:r>
        <w:rPr>
          <w:b/>
          <w:bCs/>
        </w:rPr>
        <w:t xml:space="preserve">Are Life Sciences end markets genuinely recovering, particularly biotech and academic/government demand?</w:t>
      </w:r>
    </w:p>
    <w:p>
      <w:pPr>
        <w:pStyle w:val="Compact"/>
        <w:numPr>
          <w:ilvl w:val="0"/>
          <w:numId w:val="1001"/>
        </w:numPr>
      </w:pPr>
      <w:r>
        <w:rPr>
          <w:b/>
          <w:bCs/>
        </w:rPr>
        <w:t xml:space="preserve">Can management preserve its 3%–6% full-year core-growth guide and a mid-single-digit 4Q exit rate despite respiratory, China diagnostics, tariff, and geopolitical uncertainties?</w:t>
      </w:r>
    </w:p>
    <w:bookmarkEnd w:id="9"/>
    <w:bookmarkStart w:id="10" w:name="what-danaher-has-to-deliver"/>
    <w:p>
      <w:pPr>
        <w:pStyle w:val="Heading2"/>
      </w:pPr>
      <w:r>
        <w:t xml:space="preserve">What Danaher has to deliver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2Q26 company outlook / Street framing</w:t>
            </w:r>
          </w:p>
        </w:tc>
        <w:tc>
          <w:tcPr/>
          <w:p>
            <w:pPr>
              <w:pStyle w:val="Compact"/>
            </w:pPr>
            <w:r>
              <w:t xml:space="preserve">Investor read-through</w:t>
            </w:r>
          </w:p>
        </w:tc>
      </w:tr>
      <w:tr>
        <w:tc>
          <w:tcPr/>
          <w:p>
            <w:pPr>
              <w:pStyle w:val="Compact"/>
            </w:pPr>
            <w:r>
              <w:t xml:space="preserve">Core revenue growth</w:t>
            </w:r>
          </w:p>
        </w:tc>
        <w:tc>
          <w:tcPr/>
          <w:p>
            <w:pPr>
              <w:pStyle w:val="Compact"/>
              <w:jc w:val="right"/>
            </w:pPr>
            <w:r>
              <w:t xml:space="preserve">+0.5%</w:t>
            </w:r>
          </w:p>
        </w:tc>
        <w:tc>
          <w:tcPr/>
          <w:p>
            <w:pPr>
              <w:pStyle w:val="Compact"/>
              <w:jc w:val="right"/>
            </w:pPr>
            <w:r>
              <w:t xml:space="preserve">Low single digits / ~+2% Street</w:t>
            </w:r>
          </w:p>
        </w:tc>
        <w:tc>
          <w:tcPr/>
          <w:p>
            <w:pPr>
              <w:pStyle w:val="Compact"/>
            </w:pPr>
            <w:r>
              <w:t xml:space="preserve">Confirmation of sequential acceleration</w:t>
            </w:r>
          </w:p>
        </w:tc>
      </w:tr>
      <w:tr>
        <w:tc>
          <w:tcPr/>
          <w:p>
            <w:pPr>
              <w:pStyle w:val="Compact"/>
            </w:pPr>
            <w:r>
              <w:t xml:space="preserve">Biotechnology core growth</w:t>
            </w:r>
          </w:p>
        </w:tc>
        <w:tc>
          <w:tcPr/>
          <w:p>
            <w:pPr>
              <w:pStyle w:val="Compact"/>
              <w:jc w:val="right"/>
            </w:pPr>
            <w:r>
              <w:t xml:space="preserve">+7%</w:t>
            </w:r>
          </w:p>
        </w:tc>
        <w:tc>
          <w:tcPr/>
          <w:p>
            <w:pPr>
              <w:pStyle w:val="Compact"/>
              <w:jc w:val="right"/>
            </w:pPr>
            <w:r>
              <w:t xml:space="preserve">Mid-single-digit outlook</w:t>
            </w:r>
          </w:p>
        </w:tc>
        <w:tc>
          <w:tcPr/>
          <w:p>
            <w:pPr>
              <w:pStyle w:val="Compact"/>
            </w:pPr>
            <w:r>
              <w:t xml:space="preserve">Bioprocessing consumables and equipment funnel matter most</w:t>
            </w:r>
          </w:p>
        </w:tc>
      </w:tr>
      <w:tr>
        <w:tc>
          <w:tcPr/>
          <w:p>
            <w:pPr>
              <w:pStyle w:val="Compact"/>
            </w:pPr>
            <w:r>
              <w:t xml:space="preserve">Life Sciences core growth</w:t>
            </w:r>
          </w:p>
        </w:tc>
        <w:tc>
          <w:tcPr/>
          <w:p>
            <w:pPr>
              <w:pStyle w:val="Compact"/>
              <w:jc w:val="right"/>
            </w:pPr>
            <w:r>
              <w:t xml:space="preserve">+0.5%</w:t>
            </w:r>
          </w:p>
        </w:tc>
        <w:tc>
          <w:tcPr/>
          <w:p>
            <w:pPr>
              <w:pStyle w:val="Compact"/>
              <w:jc w:val="right"/>
            </w:pPr>
            <w:r>
              <w:t xml:space="preserve">“Up slightly” outlook</w:t>
            </w:r>
          </w:p>
        </w:tc>
        <w:tc>
          <w:tcPr/>
          <w:p>
            <w:pPr>
              <w:pStyle w:val="Compact"/>
            </w:pPr>
            <w:r>
              <w:t xml:space="preserve">Evidence that the recovery is broadening</w:t>
            </w:r>
          </w:p>
        </w:tc>
      </w:tr>
      <w:tr>
        <w:tc>
          <w:tcPr/>
          <w:p>
            <w:pPr>
              <w:pStyle w:val="Compact"/>
            </w:pPr>
            <w:r>
              <w:t xml:space="preserve">Diagnostics core growth</w:t>
            </w:r>
          </w:p>
        </w:tc>
        <w:tc>
          <w:tcPr/>
          <w:p>
            <w:pPr>
              <w:pStyle w:val="Compact"/>
              <w:jc w:val="right"/>
            </w:pPr>
            <w:r>
              <w:t xml:space="preserve">-4%</w:t>
            </w:r>
          </w:p>
        </w:tc>
        <w:tc>
          <w:tcPr/>
          <w:p>
            <w:pPr>
              <w:pStyle w:val="Compact"/>
              <w:jc w:val="right"/>
            </w:pPr>
            <w:r>
              <w:t xml:space="preserve">Flat outlook</w:t>
            </w:r>
          </w:p>
        </w:tc>
        <w:tc>
          <w:tcPr/>
          <w:p>
            <w:pPr>
              <w:pStyle w:val="Compact"/>
            </w:pPr>
            <w:r>
              <w:t xml:space="preserve">Must offset China policy and respiratory pressure with clinical / molecular growth</w:t>
            </w:r>
          </w:p>
        </w:tc>
      </w:tr>
      <w:tr>
        <w:tc>
          <w:tcPr/>
          <w:p>
            <w:pPr>
              <w:pStyle w:val="Compact"/>
            </w:pPr>
            <w:r>
              <w:t xml:space="preserve">Adjusted operating margin</w:t>
            </w:r>
          </w:p>
        </w:tc>
        <w:tc>
          <w:tcPr/>
          <w:p>
            <w:pPr>
              <w:pStyle w:val="Compact"/>
              <w:jc w:val="right"/>
            </w:pPr>
            <w:r>
              <w:t xml:space="preserve">30.2%</w:t>
            </w:r>
          </w:p>
        </w:tc>
        <w:tc>
          <w:tcPr/>
          <w:p>
            <w:pPr>
              <w:pStyle w:val="Compact"/>
              <w:jc w:val="right"/>
            </w:pPr>
            <w:r>
              <w:t xml:space="preserve">~26.5%</w:t>
            </w:r>
          </w:p>
        </w:tc>
        <w:tc>
          <w:tcPr/>
          <w:p>
            <w:pPr>
              <w:pStyle w:val="Compact"/>
            </w:pPr>
            <w:r>
              <w:t xml:space="preserve">Expected seasonal decline; the quality of the margin bridge matters</w:t>
            </w:r>
          </w:p>
        </w:tc>
      </w:tr>
      <w:tr>
        <w:tc>
          <w:tcPr/>
          <w:p>
            <w:pPr>
              <w:pStyle w:val="Compact"/>
            </w:pPr>
            <w:r>
              <w:t xml:space="preserve">FY26 adjusted EPS guide</w:t>
            </w:r>
          </w:p>
        </w:tc>
        <w:tc>
          <w:tcPr/>
          <w:p>
            <w:pPr>
              <w:pStyle w:val="Compact"/>
              <w:jc w:val="right"/>
            </w:pPr>
            <w:r>
              <w:t xml:space="preserve">Raised to</w:t>
            </w:r>
            <w:r>
              <w:t xml:space="preserve"> </w:t>
            </w:r>
            <m:oMath>
              <m:r>
                <m:t>8.35</m:t>
              </m:r>
              <m:r>
                <m:rPr>
                  <m:sty m:val="p"/>
                </m:rPr>
                <m:t>–</m:t>
              </m:r>
            </m:oMath>
            <w:r>
              <w:t xml:space="preserve">8.55</w:t>
            </w:r>
          </w:p>
        </w:tc>
        <w:tc>
          <w:tcPr/>
          <w:p>
            <w:pPr>
              <w:pStyle w:val="Compact"/>
              <w:jc w:val="right"/>
            </w:pPr>
            <w:r>
              <w:t xml:space="preserve">No change expected entering results</w:t>
            </w:r>
          </w:p>
        </w:tc>
        <w:tc>
          <w:tcPr/>
          <w:p>
            <w:pPr>
              <w:pStyle w:val="Compact"/>
            </w:pPr>
            <w:r>
              <w:t xml:space="preserve">A reiteration is likely adequate; an increase would be a material positive</w:t>
            </w:r>
          </w:p>
        </w:tc>
      </w:tr>
    </w:tbl>
    <w:p>
      <w:pPr>
        <w:pStyle w:val="BodyText"/>
      </w:pPr>
      <w:r>
        <w:t xml:space="preserve">At the July 20 close of</w:t>
      </w:r>
      <w:r>
        <w:t xml:space="preserve"> </w:t>
      </w:r>
      <w:r>
        <w:rPr>
          <w:b/>
          <w:bCs/>
        </w:rPr>
        <w:t xml:space="preserve">$201.15</w:t>
      </w:r>
      <w:r>
        <w:t xml:space="preserve">, DHR trades at roughly</w:t>
      </w:r>
      <w:r>
        <w:t xml:space="preserve"> </w:t>
      </w:r>
      <w:r>
        <w:rPr>
          <w:b/>
          <w:bCs/>
        </w:rPr>
        <w:t xml:space="preserve">23.8x</w:t>
      </w:r>
      <w:r>
        <w:t xml:space="preserve"> </w:t>
      </w:r>
      <w:r>
        <w:t xml:space="preserve">the midpoint of its own FY26 adjusted-EPS guidance. That valuation leaves the shares dependent on confidence in a durable return to mid-single-digit organic growth rather than merely meeting a low-single-digit 2Q target.</w:t>
      </w:r>
    </w:p>
    <w:bookmarkEnd w:id="10"/>
    <w:bookmarkStart w:id="11" w:name="the-central-catalyst-bioprocessing"/>
    <w:p>
      <w:pPr>
        <w:pStyle w:val="Heading2"/>
      </w:pPr>
      <w:r>
        <w:t xml:space="preserve">The central catalyst: Bioprocessing</w:t>
      </w:r>
    </w:p>
    <w:p>
      <w:pPr>
        <w:pStyle w:val="FirstParagraph"/>
      </w:pPr>
      <w:r>
        <w:t xml:space="preserve">Bioprocessing is the most important fundamental upside lever.</w:t>
      </w:r>
    </w:p>
    <w:p>
      <w:pPr>
        <w:pStyle w:val="BodyText"/>
      </w:pPr>
      <w:r>
        <w:t xml:space="preserve">In 1Q, Danaher’s Biotechnology segment grew</w:t>
      </w:r>
      <w:r>
        <w:t xml:space="preserve"> </w:t>
      </w:r>
      <w:r>
        <w:rPr>
          <w:b/>
          <w:bCs/>
        </w:rPr>
        <w:t xml:space="preserve">7% organically</w:t>
      </w:r>
      <w:r>
        <w:t xml:space="preserve">, driven by high-single-digit bioprocessing growth and strong consumables demand. More importantly, bioprocessing equipment orders increased</w:t>
      </w:r>
      <w:r>
        <w:t xml:space="preserve"> </w:t>
      </w:r>
      <w:r>
        <w:rPr>
          <w:b/>
          <w:bCs/>
        </w:rPr>
        <w:t xml:space="preserve">more than 30% year over year</w:t>
      </w:r>
      <w:r>
        <w:t xml:space="preserve">—the first positive year-over-year equipment-order growth in nearly two years.</w:t>
      </w:r>
    </w:p>
    <w:p>
      <w:pPr>
        <w:pStyle w:val="BodyText"/>
      </w:pPr>
      <w:r>
        <w:t xml:space="preserve">Management has been careful not to pull forward revenue expectations: it still assumed</w:t>
      </w:r>
      <w:r>
        <w:t xml:space="preserve"> </w:t>
      </w:r>
      <w:r>
        <w:rPr>
          <w:b/>
          <w:bCs/>
        </w:rPr>
        <w:t xml:space="preserve">flat equipment revenue for 2026</w:t>
      </w:r>
      <w:r>
        <w:t xml:space="preserve">, noting that the bulk of current orders are brownfield projects with roughly</w:t>
      </w:r>
      <w:r>
        <w:t xml:space="preserve"> </w:t>
      </w:r>
      <w:r>
        <w:rPr>
          <w:b/>
          <w:bCs/>
        </w:rPr>
        <w:t xml:space="preserve">six- to 18-month</w:t>
      </w:r>
      <w:r>
        <w:t xml:space="preserve"> </w:t>
      </w:r>
      <w:r>
        <w:t xml:space="preserve">execution timelines and that customer site readiness can delay recognition. But the strategic message is constructive:</w:t>
      </w:r>
    </w:p>
    <w:p>
      <w:pPr>
        <w:pStyle w:val="Compact"/>
        <w:numPr>
          <w:ilvl w:val="0"/>
          <w:numId w:val="1002"/>
        </w:numPr>
      </w:pPr>
      <w:r>
        <w:t xml:space="preserve">Biologic-drug demand and consumables usage remain healthy.</w:t>
      </w:r>
    </w:p>
    <w:p>
      <w:pPr>
        <w:pStyle w:val="Compact"/>
        <w:numPr>
          <w:ilvl w:val="0"/>
          <w:numId w:val="1002"/>
        </w:numPr>
      </w:pPr>
      <w:r>
        <w:t xml:space="preserve">The industry appears to have underinvested in capacity for roughly two years.</w:t>
      </w:r>
    </w:p>
    <w:p>
      <w:pPr>
        <w:pStyle w:val="Compact"/>
        <w:numPr>
          <w:ilvl w:val="0"/>
          <w:numId w:val="1002"/>
        </w:numPr>
      </w:pPr>
      <w:r>
        <w:t xml:space="preserve">Brownfield expansion activity is progressing.</w:t>
      </w:r>
    </w:p>
    <w:p>
      <w:pPr>
        <w:pStyle w:val="Compact"/>
        <w:numPr>
          <w:ilvl w:val="0"/>
          <w:numId w:val="1002"/>
        </w:numPr>
      </w:pPr>
      <w:r>
        <w:t xml:space="preserve">Reshoring-related greenfield opportunities are moving into the quotation stage, even if they are not yet a near-term revenue driver.</w:t>
      </w:r>
    </w:p>
    <w:p>
      <w:pPr>
        <w:pStyle w:val="FirstParagraph"/>
      </w:pPr>
      <w:r>
        <w:rPr>
          <w:b/>
          <w:bCs/>
        </w:rPr>
        <w:t xml:space="preserve">What would be bullish:</w:t>
      </w:r>
      <w:r>
        <w:t xml:space="preserve"> </w:t>
      </w:r>
      <w:r>
        <w:t xml:space="preserve">another quarter of positive equipment orders, sustained high-single-digit consumables growth, and management commentary that order conversion or customer readiness is improving.</w:t>
      </w:r>
    </w:p>
    <w:p>
      <w:pPr>
        <w:pStyle w:val="BodyText"/>
      </w:pPr>
      <w:r>
        <w:rPr>
          <w:b/>
          <w:bCs/>
        </w:rPr>
        <w:t xml:space="preserve">What would disappoint:</w:t>
      </w:r>
      <w:r>
        <w:t xml:space="preserve"> </w:t>
      </w:r>
      <w:r>
        <w:t xml:space="preserve">weaker consumables after a strong 1Q, an order slowdown, or a more cautious view on large pharma/CDMO capacity spending.</w:t>
      </w:r>
    </w:p>
    <w:bookmarkEnd w:id="11"/>
    <w:bookmarkStart w:id="12" w:name="X2676363e43743df9afd444459c83c2aaeaf6d6b"/>
    <w:p>
      <w:pPr>
        <w:pStyle w:val="Heading2"/>
      </w:pPr>
      <w:r>
        <w:t xml:space="preserve">Life Sciences is the swing factor for the high end of guidance</w:t>
      </w:r>
    </w:p>
    <w:p>
      <w:pPr>
        <w:pStyle w:val="FirstParagraph"/>
      </w:pPr>
      <w:r>
        <w:t xml:space="preserve">Life Sciences grew just</w:t>
      </w:r>
      <w:r>
        <w:t xml:space="preserve"> </w:t>
      </w:r>
      <w:r>
        <w:rPr>
          <w:b/>
          <w:bCs/>
        </w:rPr>
        <w:t xml:space="preserve">0.5% organically</w:t>
      </w:r>
      <w:r>
        <w:t xml:space="preserve"> </w:t>
      </w:r>
      <w:r>
        <w:t xml:space="preserve">in 1Q, but the composition was better than expected. Abcam and Aldevron returned to growth earlier than management had assumed, and management highlighted improved order-book activity in instruments despite still-soft U.S. academic demand.</w:t>
      </w:r>
    </w:p>
    <w:p>
      <w:pPr>
        <w:pStyle w:val="BodyText"/>
      </w:pPr>
      <w:r>
        <w:t xml:space="preserve">The recovery remains uneven:</w:t>
      </w:r>
    </w:p>
    <w:p>
      <w:pPr>
        <w:pStyle w:val="Compact"/>
        <w:numPr>
          <w:ilvl w:val="0"/>
          <w:numId w:val="1003"/>
        </w:numPr>
      </w:pPr>
      <w:r>
        <w:rPr>
          <w:b/>
          <w:bCs/>
        </w:rPr>
        <w:t xml:space="preserve">Constructive:</w:t>
      </w:r>
      <w:r>
        <w:t xml:space="preserve"> </w:t>
      </w:r>
      <w:r>
        <w:t xml:space="preserve">large pharma/biopharma spending has been gradually improving; biotech funding and funnel activity have improved; China accelerated; Pall’s microelectronics exposure is supportive.</w:t>
      </w:r>
    </w:p>
    <w:p>
      <w:pPr>
        <w:pStyle w:val="Compact"/>
        <w:numPr>
          <w:ilvl w:val="0"/>
          <w:numId w:val="1003"/>
        </w:numPr>
      </w:pPr>
      <w:r>
        <w:rPr>
          <w:b/>
          <w:bCs/>
        </w:rPr>
        <w:t xml:space="preserve">Still weak:</w:t>
      </w:r>
      <w:r>
        <w:t xml:space="preserve"> </w:t>
      </w:r>
      <w:r>
        <w:t xml:space="preserve">North American academic and government customers remain muted, especially for instrumentation.</w:t>
      </w:r>
    </w:p>
    <w:p>
      <w:pPr>
        <w:pStyle w:val="Compact"/>
        <w:numPr>
          <w:ilvl w:val="0"/>
          <w:numId w:val="1003"/>
        </w:numPr>
      </w:pPr>
      <w:r>
        <w:rPr>
          <w:b/>
          <w:bCs/>
        </w:rPr>
        <w:t xml:space="preserve">Potential upside:</w:t>
      </w:r>
      <w:r>
        <w:t xml:space="preserve"> </w:t>
      </w:r>
      <w:r>
        <w:t xml:space="preserve">a faster conversion of biotech funding and improving order funnels into revenue, particularly for Aldevron, Abcam, automation, analytical instruments, and research consumables.</w:t>
      </w:r>
    </w:p>
    <w:p>
      <w:pPr>
        <w:pStyle w:val="FirstParagraph"/>
      </w:pPr>
      <w:r>
        <w:t xml:space="preserve">Management has explicitly identified</w:t>
      </w:r>
      <w:r>
        <w:t xml:space="preserve"> </w:t>
      </w:r>
      <w:r>
        <w:rPr>
          <w:b/>
          <w:bCs/>
        </w:rPr>
        <w:t xml:space="preserve">Life Sciences and bioprocessing equipment</w:t>
      </w:r>
      <w:r>
        <w:t xml:space="preserve"> </w:t>
      </w:r>
      <w:r>
        <w:t xml:space="preserve">as the two areas most likely to create upside to its current plan. That makes Life Sciences bookings, academic-market commentary, and the trajectory at Aldevron/Abcam especially important on Tuesday.</w:t>
      </w:r>
    </w:p>
    <w:bookmarkEnd w:id="12"/>
    <w:bookmarkStart w:id="13" w:name="X18f49325d8987cc0c62cc03b86a295093c20787"/>
    <w:p>
      <w:pPr>
        <w:pStyle w:val="Heading2"/>
      </w:pPr>
      <w:r>
        <w:t xml:space="preserve">Diagnostics: durable underlying growth, but several offsets</w:t>
      </w:r>
    </w:p>
    <w:p>
      <w:pPr>
        <w:pStyle w:val="FirstParagraph"/>
      </w:pPr>
      <w:r>
        <w:t xml:space="preserve">Diagnostics was the drag in 1Q, with</w:t>
      </w:r>
      <w:r>
        <w:t xml:space="preserve"> </w:t>
      </w:r>
      <w:r>
        <w:rPr>
          <w:b/>
          <w:bCs/>
        </w:rPr>
        <w:t xml:space="preserve">-4% core growth</w:t>
      </w:r>
      <w:r>
        <w:t xml:space="preserve">, largely due to a lighter respiratory season at Cepheid and China pricing/reimbursement headwinds.</w:t>
      </w:r>
    </w:p>
    <w:p>
      <w:pPr>
        <w:pStyle w:val="BodyText"/>
      </w:pPr>
      <w:r>
        <w:t xml:space="preserve">The underlying business was materially healthier than the headline suggests:</w:t>
      </w:r>
    </w:p>
    <w:p>
      <w:pPr>
        <w:pStyle w:val="Compact"/>
        <w:numPr>
          <w:ilvl w:val="0"/>
          <w:numId w:val="1004"/>
        </w:numPr>
      </w:pPr>
      <w:r>
        <w:t xml:space="preserve">Clinical diagnostics grew low single digits, with</w:t>
      </w:r>
      <w:r>
        <w:t xml:space="preserve"> </w:t>
      </w:r>
      <w:r>
        <w:rPr>
          <w:b/>
          <w:bCs/>
        </w:rPr>
        <w:t xml:space="preserve">mid-single-digit growth outside China</w:t>
      </w:r>
      <w:r>
        <w:t xml:space="preserve">.</w:t>
      </w:r>
    </w:p>
    <w:p>
      <w:pPr>
        <w:pStyle w:val="Compact"/>
        <w:numPr>
          <w:ilvl w:val="0"/>
          <w:numId w:val="1004"/>
        </w:numPr>
      </w:pPr>
      <w:r>
        <w:t xml:space="preserve">Cepheid’s non-respiratory menu grew</w:t>
      </w:r>
      <w:r>
        <w:t xml:space="preserve"> </w:t>
      </w:r>
      <w:r>
        <w:rPr>
          <w:b/>
          <w:bCs/>
        </w:rPr>
        <w:t xml:space="preserve">mid-teens</w:t>
      </w:r>
      <w:r>
        <w:t xml:space="preserve">, led by sexual-health and hospital-acquired-infection assays.</w:t>
      </w:r>
    </w:p>
    <w:p>
      <w:pPr>
        <w:pStyle w:val="Compact"/>
        <w:numPr>
          <w:ilvl w:val="0"/>
          <w:numId w:val="1004"/>
        </w:numPr>
      </w:pPr>
      <w:r>
        <w:t xml:space="preserve">The non-respiratory Cepheid business is now approximately as large as the respiratory business.</w:t>
      </w:r>
    </w:p>
    <w:p>
      <w:pPr>
        <w:pStyle w:val="Compact"/>
        <w:numPr>
          <w:ilvl w:val="0"/>
          <w:numId w:val="1004"/>
        </w:numPr>
      </w:pPr>
      <w:r>
        <w:t xml:space="preserve">New mid-plex assays, including GI testing, should support installed-base utilization and menu-driven growth.</w:t>
      </w:r>
    </w:p>
    <w:p>
      <w:pPr>
        <w:pStyle w:val="FirstParagraph"/>
      </w:pPr>
      <w:r>
        <w:t xml:space="preserve">For 2026, Danaher reduced its Cepheid respiratory-revenue outlook to approximately</w:t>
      </w:r>
      <w:r>
        <w:t xml:space="preserve"> </w:t>
      </w:r>
      <m:oMath>
        <m:r>
          <m:t>1.6</m:t>
        </m:r>
        <m:r>
          <m:t>b</m:t>
        </m:r>
        <m:r>
          <m:t>i</m:t>
        </m:r>
        <m:r>
          <m:t>l</m:t>
        </m:r>
        <m:r>
          <m:t>l</m:t>
        </m:r>
        <m:r>
          <m:t>i</m:t>
        </m:r>
        <m:r>
          <m:t>o</m:t>
        </m:r>
        <m:r>
          <m:t>n</m:t>
        </m:r>
        <m:r>
          <m:rPr>
            <m:sty m:val="p"/>
          </m:rPr>
          <m:t>–</m:t>
        </m:r>
      </m:oMath>
      <w:r>
        <w:rPr>
          <w:b/>
          <w:bCs/>
        </w:rPr>
        <w:t xml:space="preserve">1.7 billion</w:t>
      </w:r>
      <w:r>
        <w:t xml:space="preserve">, from an earlier $1.8 billion expectation, but maintained its broader company growth framework because non-respiratory diagnostics, clinical diagnostics, and other portfolio areas were outperforming.</w:t>
      </w:r>
    </w:p>
    <w:p>
      <w:pPr>
        <w:pStyle w:val="BodyText"/>
      </w:pPr>
      <w:r>
        <w:rPr>
          <w:b/>
          <w:bCs/>
        </w:rPr>
        <w:t xml:space="preserve">Key sensitivity:</w:t>
      </w:r>
      <w:r>
        <w:t xml:space="preserve"> </w:t>
      </w:r>
      <w:r>
        <w:t xml:space="preserve">Management’s full-year plan still assumes a normal 4Q respiratory season. Any change in that framing could matter disproportionately for the implied second-half growth cadence.</w:t>
      </w:r>
    </w:p>
    <w:bookmarkEnd w:id="13"/>
    <w:bookmarkStart w:id="14" w:name="Xec1764ddb2d601ffba6b65051f780117660994b"/>
    <w:p>
      <w:pPr>
        <w:pStyle w:val="Heading2"/>
      </w:pPr>
      <w:r>
        <w:t xml:space="preserve">Guidance is more important than the quarter</w:t>
      </w:r>
    </w:p>
    <w:p>
      <w:pPr>
        <w:pStyle w:val="FirstParagraph"/>
      </w:pPr>
      <w:r>
        <w:t xml:space="preserve">The 2Q numbers should be judged against the company’s stated progression:</w:t>
      </w:r>
    </w:p>
    <w:p>
      <w:pPr>
        <w:pStyle w:val="Compact"/>
        <w:numPr>
          <w:ilvl w:val="0"/>
          <w:numId w:val="1005"/>
        </w:numPr>
      </w:pPr>
      <w:r>
        <w:rPr>
          <w:b/>
          <w:bCs/>
        </w:rPr>
        <w:t xml:space="preserve">1H26:</w:t>
      </w:r>
      <w:r>
        <w:t xml:space="preserve"> </w:t>
      </w:r>
      <w:r>
        <w:t xml:space="preserve">low-single-digit core growth, burdened by roughly 300+ bps of combined headwinds from China Diagnostics, respiratory testing, and Life Sciences comparisons.</w:t>
      </w:r>
    </w:p>
    <w:p>
      <w:pPr>
        <w:pStyle w:val="Compact"/>
        <w:numPr>
          <w:ilvl w:val="0"/>
          <w:numId w:val="1005"/>
        </w:numPr>
      </w:pPr>
      <w:r>
        <w:rPr>
          <w:b/>
          <w:bCs/>
        </w:rPr>
        <w:t xml:space="preserve">2H26:</w:t>
      </w:r>
      <w:r>
        <w:t xml:space="preserve"> </w:t>
      </w:r>
      <w:r>
        <w:t xml:space="preserve">those headwinds should fade substantially.</w:t>
      </w:r>
    </w:p>
    <w:p>
      <w:pPr>
        <w:pStyle w:val="Compact"/>
        <w:numPr>
          <w:ilvl w:val="0"/>
          <w:numId w:val="1005"/>
        </w:numPr>
      </w:pPr>
      <w:r>
        <w:rPr>
          <w:b/>
          <w:bCs/>
        </w:rPr>
        <w:t xml:space="preserve">4Q26:</w:t>
      </w:r>
      <w:r>
        <w:t xml:space="preserve"> </w:t>
      </w:r>
      <w:r>
        <w:t xml:space="preserve">management expects to exit at</w:t>
      </w:r>
      <w:r>
        <w:t xml:space="preserve"> </w:t>
      </w:r>
      <w:r>
        <w:rPr>
          <w:b/>
          <w:bCs/>
        </w:rPr>
        <w:t xml:space="preserve">mid-single-digit core growth</w:t>
      </w:r>
      <w:r>
        <w:t xml:space="preserve">, without assuming a broad end-market improvement.</w:t>
      </w:r>
    </w:p>
    <w:p>
      <w:pPr>
        <w:pStyle w:val="FirstParagraph"/>
      </w:pPr>
      <w:r>
        <w:t xml:space="preserve">That is a relatively conservative framework—but it also sets a high bar for management to explain why the acceleration remains intact. Investors will likely tolerate an in-line 2Q if management can reinforce the 2H bridge with better bookings, stable end markets, and no new disruption.</w:t>
      </w:r>
    </w:p>
    <w:bookmarkEnd w:id="14"/>
    <w:bookmarkStart w:id="15" w:name="X7ebccd4450f46fd85b9ec80cf6d6a7171750fd5"/>
    <w:p>
      <w:pPr>
        <w:pStyle w:val="Heading2"/>
      </w:pPr>
      <w:r>
        <w:t xml:space="preserve">Masimo: strategically important, but not a 2Q earnings driver</w:t>
      </w:r>
    </w:p>
    <w:p>
      <w:pPr>
        <w:pStyle w:val="FirstParagraph"/>
      </w:pPr>
      <w:r>
        <w:t xml:space="preserve">The pending acquisition of</w:t>
      </w:r>
      <w:r>
        <w:t xml:space="preserve"> </w:t>
      </w:r>
      <w:r>
        <w:rPr>
          <w:b/>
          <w:bCs/>
        </w:rPr>
        <w:t xml:space="preserve">Masimo</w:t>
      </w:r>
      <w:r>
        <w:t xml:space="preserve"> </w:t>
      </w:r>
      <w:r>
        <w:t xml:space="preserve">remains an important medium-term catalyst and capital-allocation issue. Danaher expects to acquire the patient-monitoring company for about</w:t>
      </w:r>
      <w:r>
        <w:t xml:space="preserve"> </w:t>
      </w:r>
      <w:r>
        <w:rPr>
          <w:b/>
          <w:bCs/>
        </w:rPr>
        <w:t xml:space="preserve">$9.9 billion</w:t>
      </w:r>
      <w:r>
        <w:t xml:space="preserve">, including assumed debt and acquired cash, and to place it in Diagnostics.</w:t>
      </w:r>
    </w:p>
    <w:p>
      <w:pPr>
        <w:pStyle w:val="BodyText"/>
      </w:pPr>
      <w:r>
        <w:t xml:space="preserve">Management expects:</w:t>
      </w:r>
    </w:p>
    <w:p>
      <w:pPr>
        <w:pStyle w:val="Compact"/>
        <w:numPr>
          <w:ilvl w:val="0"/>
          <w:numId w:val="1006"/>
        </w:numPr>
      </w:pPr>
      <w:r>
        <w:t xml:space="preserve">Closing in the</w:t>
      </w:r>
      <w:r>
        <w:t xml:space="preserve"> </w:t>
      </w:r>
      <w:r>
        <w:rPr>
          <w:b/>
          <w:bCs/>
        </w:rPr>
        <w:t xml:space="preserve">second half of 2026</w:t>
      </w:r>
      <w:r>
        <w:t xml:space="preserve">, subject to regulatory approvals and other customary conditions;</w:t>
      </w:r>
    </w:p>
    <w:p>
      <w:pPr>
        <w:pStyle w:val="Compact"/>
        <w:numPr>
          <w:ilvl w:val="0"/>
          <w:numId w:val="1006"/>
        </w:numPr>
      </w:pPr>
      <w:r>
        <w:t xml:space="preserve">Adjusted-EPS accretion in the</w:t>
      </w:r>
      <w:r>
        <w:t xml:space="preserve"> </w:t>
      </w:r>
      <w:r>
        <w:rPr>
          <w:b/>
          <w:bCs/>
        </w:rPr>
        <w:t xml:space="preserve">first full year</w:t>
      </w:r>
      <w:r>
        <w:t xml:space="preserve"> </w:t>
      </w:r>
      <w:r>
        <w:t xml:space="preserve">after closing;</w:t>
      </w:r>
    </w:p>
    <w:p>
      <w:pPr>
        <w:pStyle w:val="Compact"/>
        <w:numPr>
          <w:ilvl w:val="0"/>
          <w:numId w:val="1006"/>
        </w:numPr>
      </w:pPr>
      <w:r>
        <w:t xml:space="preserve">Roughly</w:t>
      </w:r>
      <w:r>
        <w:t xml:space="preserve"> </w:t>
      </w:r>
      <m:oMath>
        <m:r>
          <m:t>125</m:t>
        </m:r>
        <m:r>
          <m:t>m</m:t>
        </m:r>
        <m:r>
          <m:t>i</m:t>
        </m:r>
        <m:r>
          <m:t>l</m:t>
        </m:r>
        <m:r>
          <m:t>l</m:t>
        </m:r>
        <m:r>
          <m:t>i</m:t>
        </m:r>
        <m:r>
          <m:t>o</m:t>
        </m:r>
        <m:r>
          <m:t>n</m:t>
        </m:r>
        <m:r>
          <m:t>o</m:t>
        </m:r>
        <m:r>
          <m:t>f</m:t>
        </m:r>
        <m:r>
          <m:t>c</m:t>
        </m:r>
        <m:r>
          <m:t>o</m:t>
        </m:r>
        <m:r>
          <m:t>s</m:t>
        </m:r>
        <m:r>
          <m:t>t</m:t>
        </m:r>
        <m:r>
          <m:t>s</m:t>
        </m:r>
        <m:r>
          <m:t>y</m:t>
        </m:r>
        <m:r>
          <m:t>n</m:t>
        </m:r>
        <m:r>
          <m:t>e</m:t>
        </m:r>
        <m:r>
          <m:t>r</m:t>
        </m:r>
        <m:r>
          <m:t>g</m:t>
        </m:r>
        <m:r>
          <m:t>i</m:t>
        </m:r>
        <m:r>
          <m:t>e</m:t>
        </m:r>
        <m:r>
          <m:t>s</m:t>
        </m:r>
        <m:r>
          <m:rPr>
            <m:sty m:val="p"/>
          </m:rPr>
          <m:t>*</m:t>
        </m:r>
        <m:r>
          <m:rPr>
            <m:sty m:val="p"/>
          </m:rPr>
          <m:t>*</m:t>
        </m:r>
        <m:r>
          <m:t>a</m:t>
        </m:r>
        <m:r>
          <m:t>n</m:t>
        </m:r>
        <m:r>
          <m:t>d</m:t>
        </m:r>
        <m:r>
          <m:rPr>
            <m:sty m:val="p"/>
          </m:rPr>
          <m:t>*</m:t>
        </m:r>
        <m:r>
          <m:rPr>
            <m:sty m:val="p"/>
          </m:rPr>
          <m:t>*</m:t>
        </m:r>
      </m:oMath>
      <w:r>
        <w:rPr>
          <w:b/>
          <w:bCs/>
        </w:rPr>
        <w:t xml:space="preserve">50 million of revenue synergies</w:t>
      </w:r>
      <w:r>
        <w:t xml:space="preserve"> </w:t>
      </w:r>
      <w:r>
        <w:t xml:space="preserve">by year five;</w:t>
      </w:r>
    </w:p>
    <w:p>
      <w:pPr>
        <w:pStyle w:val="Compact"/>
        <w:numPr>
          <w:ilvl w:val="0"/>
          <w:numId w:val="1006"/>
        </w:numPr>
      </w:pPr>
      <w:r>
        <w:t xml:space="preserve">High-single-digit return on invested capital by the fifth full year of ownership.</w:t>
      </w:r>
    </w:p>
    <w:p>
      <w:pPr>
        <w:pStyle w:val="FirstParagraph"/>
      </w:pPr>
      <w:r>
        <w:t xml:space="preserve">The immediate earnings impact should be limited before close, although investors will watch for updates on timing, financing, leverage, regulatory approvals, and the preservation of Danaher’s capacity for additional M&amp;A. Management has indicated post-deal net leverage around</w:t>
      </w:r>
      <w:r>
        <w:t xml:space="preserve"> </w:t>
      </w:r>
      <w:r>
        <w:rPr>
          <w:b/>
          <w:bCs/>
        </w:rPr>
        <w:t xml:space="preserve">2.5x EBITDA</w:t>
      </w:r>
      <w:r>
        <w:t xml:space="preserve">, supported by more than $5 billion of expected annual free cash flow.</w:t>
      </w:r>
    </w:p>
    <w:bookmarkEnd w:id="15"/>
    <w:bookmarkStart w:id="16" w:name="risks-to-monitor"/>
    <w:p>
      <w:pPr>
        <w:pStyle w:val="Heading2"/>
      </w:pPr>
      <w:r>
        <w:t xml:space="preserve">Risks to monitor</w:t>
      </w:r>
    </w:p>
    <w:p>
      <w:pPr>
        <w:pStyle w:val="Compact"/>
        <w:numPr>
          <w:ilvl w:val="0"/>
          <w:numId w:val="1007"/>
        </w:numPr>
      </w:pPr>
      <w:r>
        <w:rPr>
          <w:b/>
          <w:bCs/>
        </w:rPr>
        <w:t xml:space="preserve">Respiratory testing:</w:t>
      </w:r>
      <w:r>
        <w:t xml:space="preserve"> </w:t>
      </w:r>
      <w:r>
        <w:t xml:space="preserve">Another weak season, or less confidence in 4Q stocking/seasonality, would pressure Diagnostics and the full-year setup.</w:t>
      </w:r>
    </w:p>
    <w:p>
      <w:pPr>
        <w:pStyle w:val="Compact"/>
        <w:numPr>
          <w:ilvl w:val="0"/>
          <w:numId w:val="1007"/>
        </w:numPr>
      </w:pPr>
      <w:r>
        <w:rPr>
          <w:b/>
          <w:bCs/>
        </w:rPr>
        <w:t xml:space="preserve">China Diagnostics:</w:t>
      </w:r>
      <w:r>
        <w:t xml:space="preserve"> </w:t>
      </w:r>
      <w:r>
        <w:t xml:space="preserve">Pricing pressure from volume-based procurement and reimbursement policy changes is known, but volume trends and the remaining policy impact need to remain manageable.</w:t>
      </w:r>
    </w:p>
    <w:p>
      <w:pPr>
        <w:pStyle w:val="Compact"/>
        <w:numPr>
          <w:ilvl w:val="0"/>
          <w:numId w:val="1007"/>
        </w:numPr>
      </w:pPr>
      <w:r>
        <w:rPr>
          <w:b/>
          <w:bCs/>
        </w:rPr>
        <w:t xml:space="preserve">Life Sciences demand:</w:t>
      </w:r>
      <w:r>
        <w:t xml:space="preserve"> </w:t>
      </w:r>
      <w:r>
        <w:t xml:space="preserve">Academic/government funding uncertainty and weak instrument demand could delay the expected recovery.</w:t>
      </w:r>
    </w:p>
    <w:p>
      <w:pPr>
        <w:pStyle w:val="Compact"/>
        <w:numPr>
          <w:ilvl w:val="0"/>
          <w:numId w:val="1007"/>
        </w:numPr>
      </w:pPr>
      <w:r>
        <w:rPr>
          <w:b/>
          <w:bCs/>
        </w:rPr>
        <w:t xml:space="preserve">Tariffs, raw materials, and logistics:</w:t>
      </w:r>
      <w:r>
        <w:t xml:space="preserve"> </w:t>
      </w:r>
      <w:r>
        <w:t xml:space="preserve">Danaher said tariffs were not material in 1Q, but tariff costs affected gross margin. The company has also flagged higher logistics and supply costs tied to Middle East disruption and energy-price volatility.</w:t>
      </w:r>
    </w:p>
    <w:p>
      <w:pPr>
        <w:pStyle w:val="Compact"/>
        <w:numPr>
          <w:ilvl w:val="0"/>
          <w:numId w:val="1007"/>
        </w:numPr>
      </w:pPr>
      <w:r>
        <w:rPr>
          <w:b/>
          <w:bCs/>
        </w:rPr>
        <w:t xml:space="preserve">Bioprocessing order conversion:</w:t>
      </w:r>
      <w:r>
        <w:t xml:space="preserve"> </w:t>
      </w:r>
      <w:r>
        <w:t xml:space="preserve">Equipment orders are encouraging but are not yet revenue; timing depends substantially on customer project readiness.</w:t>
      </w:r>
    </w:p>
    <w:p>
      <w:pPr>
        <w:pStyle w:val="Compact"/>
        <w:numPr>
          <w:ilvl w:val="0"/>
          <w:numId w:val="1007"/>
        </w:numPr>
      </w:pPr>
      <w:r>
        <w:rPr>
          <w:b/>
          <w:bCs/>
        </w:rPr>
        <w:t xml:space="preserve">Masimo execution:</w:t>
      </w:r>
      <w:r>
        <w:t xml:space="preserve"> </w:t>
      </w:r>
      <w:r>
        <w:t xml:space="preserve">Delays, financing costs, regulatory hurdles, or a more difficult-than-expected integration would weigh on the acquisition thesis.</w:t>
      </w:r>
    </w:p>
    <w:bookmarkEnd w:id="16"/>
    <w:bookmarkStart w:id="18" w:name="bottom-line"/>
    <w:p>
      <w:pPr>
        <w:pStyle w:val="Heading2"/>
      </w:pPr>
      <w:r>
        <w:t xml:space="preserve">Bottom line</w:t>
      </w:r>
    </w:p>
    <w:p>
      <w:pPr>
        <w:pStyle w:val="FirstParagraph"/>
      </w:pPr>
      <w:r>
        <w:rPr>
          <w:b/>
          <w:bCs/>
        </w:rPr>
        <w:t xml:space="preserve">The base case is an in-line-to-modestly-better 2Q with a reiterated 2026 framework.</w:t>
      </w:r>
      <w:r>
        <w:t xml:space="preserve"> </w:t>
      </w:r>
      <w:r>
        <w:t xml:space="preserve">The real positive outcome would be evidence that Danaher’s recovery is becoming more self-sustaining: high-single-digit Bioprocessing demand, continued improvement in Life Sciences orders and consumables, stable China trends, and confidence in the mid-single-digit 4Q exit rate.</w:t>
      </w:r>
    </w:p>
    <w:p>
      <w:pPr>
        <w:pStyle w:val="BodyText"/>
      </w:pPr>
      <w:r>
        <w:t xml:space="preserve">A simple EPS beat without stronger commentary on those items may not be enough after the recent share-price recovery. Conversely, confirmation that equipment orders are converting, Life Sciences is inflecting, and Diagnostics ex-respiratory remains durable could strengthen the case that 2026 is the transition year toward a more normal growth algorithm in 2027.</w:t>
      </w:r>
    </w:p>
    <w:bookmarkStart w:id="17" w:name="sources-reviewed"/>
    <w:p>
      <w:pPr>
        <w:pStyle w:val="Heading3"/>
      </w:pPr>
      <w:r>
        <w:t xml:space="preserve">Sources reviewed</w:t>
      </w:r>
    </w:p>
    <w:p>
      <w:pPr>
        <w:pStyle w:val="Compact"/>
        <w:numPr>
          <w:ilvl w:val="0"/>
          <w:numId w:val="1008"/>
        </w:numPr>
      </w:pPr>
      <w:r>
        <w:t xml:space="preserve">Danaher 1Q26 earnings release and Form 10-Q</w:t>
      </w:r>
    </w:p>
    <w:p>
      <w:pPr>
        <w:pStyle w:val="Compact"/>
        <w:numPr>
          <w:ilvl w:val="0"/>
          <w:numId w:val="1008"/>
        </w:numPr>
      </w:pPr>
      <w:r>
        <w:t xml:space="preserve">Danaher 1Q26 earnings-call transcript</w:t>
      </w:r>
    </w:p>
    <w:p>
      <w:pPr>
        <w:pStyle w:val="Compact"/>
        <w:numPr>
          <w:ilvl w:val="0"/>
          <w:numId w:val="1008"/>
        </w:numPr>
      </w:pPr>
      <w:r>
        <w:t xml:space="preserve">Danaher presentation at the Bank of America Global Healthcare Conference on May 13, 2026</w:t>
      </w:r>
    </w:p>
    <w:p>
      <w:pPr>
        <w:pStyle w:val="Compact"/>
        <w:numPr>
          <w:ilvl w:val="0"/>
          <w:numId w:val="1008"/>
        </w:numPr>
      </w:pPr>
      <w:r>
        <w:t xml:space="preserve">Recent DHR market-news and earnings-expectations digest</w:t>
      </w:r>
    </w:p>
    <w:bookmarkEnd w:id="17"/>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2026-07-21T00:02:29Z</dcterms:created>
  <dcterms:modified xsi:type="dcterms:W3CDTF">2026-07-21T00:02:29Z</dcterms:modified>
</cp:coreProperties>
</file>

<file path=docProps/custom.xml><?xml version="1.0" encoding="utf-8"?>
<Properties xmlns="http://schemas.openxmlformats.org/officeDocument/2006/custom-properties" xmlns:vt="http://schemas.openxmlformats.org/officeDocument/2006/docPropsVTypes"/>
</file>