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hr-earnings-predictions--2026-07-21"/>
    <w:p>
      <w:pPr>
        <w:pStyle w:val="Heading1"/>
      </w:pPr>
      <w:r>
        <w:t xml:space="preserve">DHR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(operating)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~$1.93 vs. cons $1.838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~$6.05B vs. cons $6.100B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Biotech Segment Organic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~+6.5% vs. cons ~+5.5%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EPS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8.55</m:t>
              </m:r>
              <m:r>
                <m:rPr>
                  <m:sty m:val="p"/>
                </m:rPr>
                <m:t>−</m:t>
              </m:r>
            </m:oMath>
            <w:r>
              <w:t xml:space="preserve">8.65 vs. cons midpoint $8.45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Core Revenue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3-6% maintained vs. current guide 3-6%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Bioprocessing Equipment Tone (Qualitative, 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upgrade from flat to modestly positive vs. current flat assumption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out-period math pulls H2 estimates up; short-cover bid; bioprocessing equipment narrative takes days to be reflected in models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2026-07-24T22:21:12Z</dcterms:created>
  <dcterms:modified xsi:type="dcterms:W3CDTF">2026-07-24T22:21:12Z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