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Danaher Corporation (DHR)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Danaher Corporation</w:t>
            </w:r>
          </w:p>
        </w:tc>
      </w:tr>
      <w:tr>
        <w:tc>
          <w:tcPr>
            <w:tcW w:type="dxa" w:w="4320"/>
          </w:tcPr>
          <w:p>
            <w:r>
              <w:rPr>
                <w:rFonts w:ascii="Calibri" w:hAnsi="Calibri"/>
                <w:b/>
                <w:sz w:val="22"/>
              </w:rPr>
              <w:t>Ticker</w:t>
            </w:r>
          </w:p>
        </w:tc>
        <w:tc>
          <w:tcPr>
            <w:tcW w:type="dxa" w:w="4320"/>
          </w:tcPr>
          <w:p>
            <w:r>
              <w:rPr>
                <w:rFonts w:ascii="Calibri" w:hAnsi="Calibri"/>
                <w:sz w:val="22"/>
              </w:rPr>
              <w:t>NYSE: DHR</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July 21, 2026 — Before Market Open</w:t>
            </w:r>
          </w:p>
        </w:tc>
      </w:tr>
      <w:tr>
        <w:tc>
          <w:tcPr>
            <w:tcW w:type="dxa" w:w="4320"/>
          </w:tcPr>
          <w:p>
            <w:r>
              <w:rPr>
                <w:rFonts w:ascii="Calibri" w:hAnsi="Calibri"/>
                <w:b/>
                <w:sz w:val="22"/>
              </w:rPr>
              <w:t>Prepared Date</w:t>
            </w:r>
          </w:p>
        </w:tc>
        <w:tc>
          <w:tcPr>
            <w:tcW w:type="dxa" w:w="4320"/>
          </w:tcPr>
          <w:p>
            <w:r>
              <w:rPr>
                <w:rFonts w:ascii="Calibri" w:hAnsi="Calibri"/>
                <w:sz w:val="22"/>
              </w:rPr>
              <w:t>July 20, 2026</w:t>
            </w:r>
          </w:p>
        </w:tc>
      </w:tr>
      <w:tr>
        <w:tc>
          <w:tcPr>
            <w:tcW w:type="dxa" w:w="4320"/>
          </w:tcPr>
          <w:p>
            <w:r>
              <w:rPr>
                <w:rFonts w:ascii="Calibri" w:hAnsi="Calibri"/>
                <w:b/>
                <w:sz w:val="22"/>
              </w:rPr>
              <w:t>Sector / Sub-sector</w:t>
            </w:r>
          </w:p>
        </w:tc>
        <w:tc>
          <w:tcPr>
            <w:tcW w:type="dxa" w:w="4320"/>
          </w:tcPr>
          <w:p>
            <w:r>
              <w:rPr>
                <w:rFonts w:ascii="Calibri" w:hAnsi="Calibri"/>
                <w:sz w:val="22"/>
              </w:rPr>
              <w:t>Life Sciences Tools &amp; Diagnostics</w:t>
            </w:r>
          </w:p>
        </w:tc>
      </w:tr>
    </w:tbl>
    <w:p>
      <w:r>
        <w:br w:type="page"/>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Setup is modestly constructive — consensus sits at a low bar on revenue (core growth ~2% vs. guidance of low-single-digits) while the EPS bar is achievable given DHR's track record of cost outperformance; the single biggest swing factor is whether </w:t>
      </w:r>
      <w:r>
        <w:rPr>
          <w:rFonts w:ascii="Calibri" w:hAnsi="Calibri"/>
          <w:b/>
          <w:color w:val="525866"/>
          <w:sz w:val="22"/>
        </w:rPr>
        <w:t>bioprocessing equipment order momentum translates into revenue upside</w:t>
      </w:r>
      <w:r>
        <w:rPr>
          <w:rFonts w:ascii="Calibri" w:hAnsi="Calibri"/>
          <w:color w:val="525866"/>
          <w:sz w:val="22"/>
        </w:rPr>
        <w:t xml:space="preserve"> and whether Masimo's first full-quarter contribution surprises positively.</w:t>
      </w:r>
    </w:p>
    <w:p>
      <w:r>
        <w:rPr>
          <w:rFonts w:ascii="Calibri" w:hAnsi="Calibri"/>
          <w:color w:val="525866"/>
          <w:sz w:val="22"/>
        </w:rPr>
        <w:t xml:space="preserve">Heading into Q2 2026, Danaher's setup is one of a low revenue bar with a credible path to EPS delivery. Consensus expects core revenue growth of roughly 2% year-over-year — below management's guided "low single digits" — implying the Street has anchored conservatively, leaving room for a modest beat if bioprocessing consumables sustain high-single-digit growth and the China diagnostics headwind plays out as modeled. Management's tone on the Q1 call was constructive: all three segments were tracking in line or better, the 300 basis point first-half headwind from China diagnostics, respiratory, and Life Sciences comps was expected to abate by year-end, and the full-year EPS guide was nudged up to $8.35–$8.55. Estimate revisions have been essentially flat since the Q1 print, suggesting the Street is neither chasing upside nor cutting numbers — a neutral setup. The stock has recovered from post-earnings lows (~$161 in mid-May) to ~$201, roughly in line with the S&amp;P 500 on an indexed basis but lagging XBI (+10.7% vs. DHR +3.4%), meaning the multiple has not re-rated meaningfully and the stock is not pricing in a beat. The key wildcard is </w:t>
      </w:r>
      <w:r>
        <w:rPr>
          <w:rFonts w:ascii="Calibri" w:hAnsi="Calibri"/>
          <w:b/>
          <w:color w:val="525866"/>
          <w:sz w:val="22"/>
        </w:rPr>
        <w:t>Masimo integration</w:t>
      </w:r>
      <w:r>
        <w:rPr>
          <w:rFonts w:ascii="Calibri" w:hAnsi="Calibri"/>
          <w:color w:val="525866"/>
          <w:sz w:val="22"/>
        </w:rPr>
        <w:t>: the acquisition closed June 10, 2026, and management guided for no material Q2 contribution — any upside surprise there, or an updated full-year guide that incorporates Masimo more favorably than feared, could be the catalyst that moves the stock.</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sits below management's guided range on revenue (implying ~2% core growth vs. "low single digits" guide), making the revenue bar achievable; </w:t>
      </w:r>
      <w:r>
        <w:rPr>
          <w:rFonts w:ascii="Calibri" w:hAnsi="Calibri"/>
          <w:b/>
          <w:color w:val="525866"/>
          <w:sz w:val="22"/>
        </w:rPr>
        <w:t>adjusted EPS at $1.84 is the bigger swing factor</w:t>
      </w:r>
      <w:r>
        <w:rPr>
          <w:rFonts w:ascii="Calibri" w:hAnsi="Calibri"/>
          <w:color w:val="525866"/>
          <w:sz w:val="22"/>
        </w:rPr>
        <w:t xml:space="preserve"> given DHR's consistent track record of cost outperformance — a repeat of Q1's $0.12 beat would put Q2 EPS at ~$1.96.</w:t>
      </w:r>
    </w:p>
    <w:p>
      <w:pPr>
        <w:pStyle w:val="Heading3"/>
      </w:pPr>
      <w:r>
        <w:rPr>
          <w:rFonts w:ascii="Calibri" w:hAnsi="Calibri"/>
          <w:b/>
          <w:color w:val="3B4259"/>
          <w:sz w:val="24"/>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 (Est.)</w:t>
            </w:r>
          </w:p>
        </w:tc>
        <w:tc>
          <w:tcPr>
            <w:tcW w:type="dxa" w:w="1234"/>
            <w:shd w:val="clear" w:color="auto" w:fill="3B4259"/>
          </w:tcPr>
          <w:p>
            <w:r>
              <w:rPr>
                <w:rFonts w:ascii="Calibri" w:hAnsi="Calibri"/>
                <w:b/>
                <w:color w:val="FFFFFF"/>
                <w:sz w:val="22"/>
              </w:rPr>
              <w:t>Guidance (Q2 2026)</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Revenue (Net), $B</w:t>
            </w:r>
          </w:p>
        </w:tc>
        <w:tc>
          <w:tcPr>
            <w:tcW w:type="dxa" w:w="1234"/>
          </w:tcPr>
          <w:p>
            <w:r>
              <w:rPr>
                <w:rFonts w:ascii="Calibri" w:hAnsi="Calibri"/>
                <w:sz w:val="22"/>
              </w:rPr>
              <w:t>$5.951B</w:t>
            </w:r>
          </w:p>
        </w:tc>
        <w:tc>
          <w:tcPr>
            <w:tcW w:type="dxa" w:w="1234"/>
          </w:tcPr>
          <w:p>
            <w:r>
              <w:rPr>
                <w:rFonts w:ascii="Calibri" w:hAnsi="Calibri"/>
                <w:sz w:val="22"/>
              </w:rPr>
              <w:t>$5.936B</w:t>
            </w:r>
          </w:p>
        </w:tc>
        <w:tc>
          <w:tcPr>
            <w:tcW w:type="dxa" w:w="1234"/>
          </w:tcPr>
          <w:p>
            <w:r>
              <w:rPr>
                <w:rFonts w:ascii="Calibri" w:hAnsi="Calibri"/>
                <w:sz w:val="22"/>
              </w:rPr>
              <w:t>$6.100B</w:t>
            </w:r>
          </w:p>
        </w:tc>
        <w:tc>
          <w:tcPr>
            <w:tcW w:type="dxa" w:w="1234"/>
          </w:tcPr>
          <w:p>
            <w:r>
              <w:rPr>
                <w:rFonts w:ascii="Calibri" w:hAnsi="Calibri"/>
                <w:sz w:val="22"/>
              </w:rPr>
              <w:t>+2.8% YoY</w:t>
            </w:r>
          </w:p>
        </w:tc>
        <w:tc>
          <w:tcPr>
            <w:tcW w:type="dxa" w:w="1234"/>
          </w:tcPr>
          <w:p>
            <w:r>
              <w:rPr>
                <w:rFonts w:ascii="Calibri" w:hAnsi="Calibri"/>
                <w:sz w:val="22"/>
              </w:rPr>
              <w:t>Low single-digit core growth</w:t>
            </w:r>
          </w:p>
        </w:tc>
        <w:tc>
          <w:tcPr>
            <w:tcW w:type="dxa" w:w="1234"/>
          </w:tcPr>
          <w:p>
            <w:r>
              <w:rPr>
                <w:rFonts w:ascii="Calibri" w:hAnsi="Calibri"/>
                <w:sz w:val="22"/>
              </w:rPr>
              <w:t>~In line / slight miss vs. midpoint</w:t>
            </w:r>
          </w:p>
        </w:tc>
      </w:tr>
      <w:tr>
        <w:tc>
          <w:tcPr>
            <w:tcW w:type="dxa" w:w="1234"/>
          </w:tcPr>
          <w:p>
            <w:r>
              <w:rPr>
                <w:rFonts w:ascii="Calibri" w:hAnsi="Calibri"/>
                <w:sz w:val="22"/>
              </w:rPr>
              <w:t>Adj. Diluted EPS (Operating)</w:t>
            </w:r>
          </w:p>
        </w:tc>
        <w:tc>
          <w:tcPr>
            <w:tcW w:type="dxa" w:w="1234"/>
          </w:tcPr>
          <w:p>
            <w:r>
              <w:rPr>
                <w:rFonts w:ascii="Calibri" w:hAnsi="Calibri"/>
                <w:sz w:val="22"/>
              </w:rPr>
              <w:t>$2.06</w:t>
            </w:r>
          </w:p>
        </w:tc>
        <w:tc>
          <w:tcPr>
            <w:tcW w:type="dxa" w:w="1234"/>
          </w:tcPr>
          <w:p>
            <w:r>
              <w:rPr>
                <w:rFonts w:ascii="Calibri" w:hAnsi="Calibri"/>
                <w:sz w:val="22"/>
              </w:rPr>
              <w:t>$1.80</w:t>
            </w:r>
          </w:p>
        </w:tc>
        <w:tc>
          <w:tcPr>
            <w:tcW w:type="dxa" w:w="1234"/>
          </w:tcPr>
          <w:p>
            <w:r>
              <w:rPr>
                <w:rFonts w:ascii="Calibri" w:hAnsi="Calibri"/>
                <w:sz w:val="22"/>
              </w:rPr>
              <w:t>$1.84</w:t>
            </w:r>
          </w:p>
        </w:tc>
        <w:tc>
          <w:tcPr>
            <w:tcW w:type="dxa" w:w="1234"/>
          </w:tcPr>
          <w:p>
            <w:r>
              <w:rPr>
                <w:rFonts w:ascii="Calibri" w:hAnsi="Calibri"/>
                <w:sz w:val="22"/>
              </w:rPr>
              <w:t>+2.2% YoY</w:t>
            </w:r>
          </w:p>
        </w:tc>
        <w:tc>
          <w:tcPr>
            <w:tcW w:type="dxa" w:w="1234"/>
          </w:tcPr>
          <w:p>
            <w:r>
              <w:rPr>
                <w:rFonts w:ascii="Calibri" w:hAnsi="Calibri"/>
                <w:sz w:val="22"/>
              </w:rPr>
              <w:t>~$1.84 (implied by FY guide)</w:t>
            </w:r>
          </w:p>
        </w:tc>
        <w:tc>
          <w:tcPr>
            <w:tcW w:type="dxa" w:w="1234"/>
          </w:tcPr>
          <w:p>
            <w:r>
              <w:rPr>
                <w:rFonts w:ascii="Calibri" w:hAnsi="Calibri"/>
                <w:sz w:val="22"/>
              </w:rPr>
              <w:t>~In line</w:t>
            </w:r>
          </w:p>
        </w:tc>
      </w:tr>
      <w:tr>
        <w:tc>
          <w:tcPr>
            <w:tcW w:type="dxa" w:w="1234"/>
          </w:tcPr>
          <w:p>
            <w:r>
              <w:rPr>
                <w:rFonts w:ascii="Calibri" w:hAnsi="Calibri"/>
                <w:sz w:val="22"/>
              </w:rPr>
              <w:t>Organic Revenue Growth (%)</w:t>
            </w:r>
          </w:p>
        </w:tc>
        <w:tc>
          <w:tcPr>
            <w:tcW w:type="dxa" w:w="1234"/>
          </w:tcPr>
          <w:p>
            <w:r>
              <w:rPr>
                <w:rFonts w:ascii="Calibri" w:hAnsi="Calibri"/>
                <w:sz w:val="22"/>
              </w:rPr>
              <w:t>+0.45%</w:t>
            </w:r>
          </w:p>
        </w:tc>
        <w:tc>
          <w:tcPr>
            <w:tcW w:type="dxa" w:w="1234"/>
          </w:tcPr>
          <w:p>
            <w:r>
              <w:rPr>
                <w:rFonts w:ascii="Calibri" w:hAnsi="Calibri"/>
                <w:sz w:val="22"/>
              </w:rPr>
              <w:t>+1.84%</w:t>
            </w:r>
          </w:p>
        </w:tc>
        <w:tc>
          <w:tcPr>
            <w:tcW w:type="dxa" w:w="1234"/>
          </w:tcPr>
          <w:p>
            <w:r>
              <w:rPr>
                <w:rFonts w:ascii="Calibri" w:hAnsi="Calibri"/>
                <w:sz w:val="22"/>
              </w:rPr>
              <w:t>~+1.97%</w:t>
            </w:r>
          </w:p>
        </w:tc>
        <w:tc>
          <w:tcPr>
            <w:tcW w:type="dxa" w:w="1234"/>
          </w:tcPr>
          <w:p>
            <w:r>
              <w:rPr>
                <w:rFonts w:ascii="Calibri" w:hAnsi="Calibri"/>
                <w:sz w:val="22"/>
              </w:rPr>
              <w:t>~+13 bps YoY</w:t>
            </w:r>
          </w:p>
        </w:tc>
        <w:tc>
          <w:tcPr>
            <w:tcW w:type="dxa" w:w="1234"/>
          </w:tcPr>
          <w:p>
            <w:r>
              <w:rPr>
                <w:rFonts w:ascii="Calibri" w:hAnsi="Calibri"/>
                <w:sz w:val="22"/>
              </w:rPr>
              <w:t>Low single digits</w:t>
            </w:r>
          </w:p>
        </w:tc>
        <w:tc>
          <w:tcPr>
            <w:tcW w:type="dxa" w:w="1234"/>
          </w:tcPr>
          <w:p>
            <w:r>
              <w:rPr>
                <w:rFonts w:ascii="Calibri" w:hAnsi="Calibri"/>
                <w:sz w:val="22"/>
              </w:rPr>
              <w:t>Below midpoint of guide</w:t>
            </w:r>
          </w:p>
        </w:tc>
      </w:tr>
      <w:tr>
        <w:tc>
          <w:tcPr>
            <w:tcW w:type="dxa" w:w="1234"/>
          </w:tcPr>
          <w:p>
            <w:r>
              <w:rPr>
                <w:rFonts w:ascii="Calibri" w:hAnsi="Calibri"/>
                <w:sz w:val="22"/>
              </w:rPr>
              <w:t>Biotechnology Revenue, $B</w:t>
            </w:r>
          </w:p>
        </w:tc>
        <w:tc>
          <w:tcPr>
            <w:tcW w:type="dxa" w:w="1234"/>
          </w:tcPr>
          <w:p>
            <w:r>
              <w:rPr>
                <w:rFonts w:ascii="Calibri" w:hAnsi="Calibri"/>
                <w:sz w:val="22"/>
              </w:rPr>
              <w:t>$1.797B</w:t>
            </w:r>
          </w:p>
        </w:tc>
        <w:tc>
          <w:tcPr>
            <w:tcW w:type="dxa" w:w="1234"/>
          </w:tcPr>
          <w:p>
            <w:r>
              <w:rPr>
                <w:rFonts w:ascii="Calibri" w:hAnsi="Calibri"/>
                <w:sz w:val="22"/>
              </w:rPr>
              <w:t>$1.850B</w:t>
            </w:r>
          </w:p>
        </w:tc>
        <w:tc>
          <w:tcPr>
            <w:tcW w:type="dxa" w:w="1234"/>
          </w:tcPr>
          <w:p>
            <w:r>
              <w:rPr>
                <w:rFonts w:ascii="Calibri" w:hAnsi="Calibri"/>
                <w:sz w:val="22"/>
              </w:rPr>
              <w:t>$1.962B</w:t>
            </w:r>
          </w:p>
        </w:tc>
        <w:tc>
          <w:tcPr>
            <w:tcW w:type="dxa" w:w="1234"/>
          </w:tcPr>
          <w:p>
            <w:r>
              <w:rPr>
                <w:rFonts w:ascii="Calibri" w:hAnsi="Calibri"/>
                <w:sz w:val="22"/>
              </w:rPr>
              <w:t>+6.1% YoY</w:t>
            </w:r>
          </w:p>
        </w:tc>
        <w:tc>
          <w:tcPr>
            <w:tcW w:type="dxa" w:w="1234"/>
          </w:tcPr>
          <w:p>
            <w:r>
              <w:rPr>
                <w:rFonts w:ascii="Calibri" w:hAnsi="Calibri"/>
                <w:sz w:val="22"/>
              </w:rPr>
              <w:t>Consumables high-single-digit; equipment flat</w:t>
            </w:r>
          </w:p>
        </w:tc>
        <w:tc>
          <w:tcPr>
            <w:tcW w:type="dxa" w:w="1234"/>
          </w:tcPr>
          <w:p>
            <w:r>
              <w:rPr>
                <w:rFonts w:ascii="Calibri" w:hAnsi="Calibri"/>
                <w:sz w:val="22"/>
              </w:rPr>
              <w:t>~In line</w:t>
            </w:r>
          </w:p>
        </w:tc>
      </w:tr>
      <w:tr>
        <w:tc>
          <w:tcPr>
            <w:tcW w:type="dxa" w:w="1234"/>
          </w:tcPr>
          <w:p>
            <w:r>
              <w:rPr>
                <w:rFonts w:ascii="Calibri" w:hAnsi="Calibri"/>
                <w:sz w:val="22"/>
              </w:rPr>
              <w:t>Life Sciences Revenue, $B</w:t>
            </w:r>
          </w:p>
        </w:tc>
        <w:tc>
          <w:tcPr>
            <w:tcW w:type="dxa" w:w="1234"/>
          </w:tcPr>
          <w:p>
            <w:r>
              <w:rPr>
                <w:rFonts w:ascii="Calibri" w:hAnsi="Calibri"/>
                <w:sz w:val="22"/>
              </w:rPr>
              <w:t>$3.534B</w:t>
            </w:r>
          </w:p>
        </w:tc>
        <w:tc>
          <w:tcPr>
            <w:tcW w:type="dxa" w:w="1234"/>
          </w:tcPr>
          <w:p>
            <w:r>
              <w:rPr>
                <w:rFonts w:ascii="Calibri" w:hAnsi="Calibri"/>
                <w:sz w:val="22"/>
              </w:rPr>
              <w:t>$3.627B</w:t>
            </w:r>
          </w:p>
        </w:tc>
        <w:tc>
          <w:tcPr>
            <w:tcW w:type="dxa" w:w="1234"/>
          </w:tcPr>
          <w:p>
            <w:r>
              <w:rPr>
                <w:rFonts w:ascii="Calibri" w:hAnsi="Calibri"/>
                <w:sz w:val="22"/>
              </w:rPr>
              <w:t>$3.760B</w:t>
            </w:r>
          </w:p>
        </w:tc>
        <w:tc>
          <w:tcPr>
            <w:tcW w:type="dxa" w:w="1234"/>
          </w:tcPr>
          <w:p>
            <w:r>
              <w:rPr>
                <w:rFonts w:ascii="Calibri" w:hAnsi="Calibri"/>
                <w:sz w:val="22"/>
              </w:rPr>
              <w:t>+3.7% YoY</w:t>
            </w:r>
          </w:p>
        </w:tc>
        <w:tc>
          <w:tcPr>
            <w:tcW w:type="dxa" w:w="1234"/>
          </w:tcPr>
          <w:p>
            <w:r>
              <w:rPr>
                <w:rFonts w:ascii="Calibri" w:hAnsi="Calibri"/>
                <w:sz w:val="22"/>
              </w:rPr>
              <w:t>Slightly negative to slightly positive consumables</w:t>
            </w:r>
          </w:p>
        </w:tc>
        <w:tc>
          <w:tcPr>
            <w:tcW w:type="dxa" w:w="1234"/>
          </w:tcPr>
          <w:p>
            <w:r>
              <w:rPr>
                <w:rFonts w:ascii="Calibri" w:hAnsi="Calibri"/>
                <w:sz w:val="22"/>
              </w:rPr>
              <w:t>~In line</w:t>
            </w:r>
          </w:p>
        </w:tc>
      </w:tr>
      <w:tr>
        <w:tc>
          <w:tcPr>
            <w:tcW w:type="dxa" w:w="1234"/>
          </w:tcPr>
          <w:p>
            <w:r>
              <w:rPr>
                <w:rFonts w:ascii="Calibri" w:hAnsi="Calibri"/>
                <w:sz w:val="22"/>
              </w:rPr>
              <w:t>Diagnostics Revenue, $B</w:t>
            </w:r>
          </w:p>
        </w:tc>
        <w:tc>
          <w:tcPr>
            <w:tcW w:type="dxa" w:w="1234"/>
          </w:tcPr>
          <w:p>
            <w:r>
              <w:rPr>
                <w:rFonts w:ascii="Calibri" w:hAnsi="Calibri"/>
                <w:sz w:val="22"/>
              </w:rPr>
              <w:t>$2.417B</w:t>
            </w:r>
          </w:p>
        </w:tc>
        <w:tc>
          <w:tcPr>
            <w:tcW w:type="dxa" w:w="1234"/>
          </w:tcPr>
          <w:p>
            <w:r>
              <w:rPr>
                <w:rFonts w:ascii="Calibri" w:hAnsi="Calibri"/>
                <w:sz w:val="22"/>
              </w:rPr>
              <w:t>$2.309B</w:t>
            </w:r>
          </w:p>
        </w:tc>
        <w:tc>
          <w:tcPr>
            <w:tcW w:type="dxa" w:w="1234"/>
          </w:tcPr>
          <w:p>
            <w:r>
              <w:rPr>
                <w:rFonts w:ascii="Calibri" w:hAnsi="Calibri"/>
                <w:sz w:val="22"/>
              </w:rPr>
              <w:t>$2.337B</w:t>
            </w:r>
          </w:p>
        </w:tc>
        <w:tc>
          <w:tcPr>
            <w:tcW w:type="dxa" w:w="1234"/>
          </w:tcPr>
          <w:p>
            <w:r>
              <w:rPr>
                <w:rFonts w:ascii="Calibri" w:hAnsi="Calibri"/>
                <w:sz w:val="22"/>
              </w:rPr>
              <w:t>+1.2% YoY</w:t>
            </w:r>
          </w:p>
        </w:tc>
        <w:tc>
          <w:tcPr>
            <w:tcW w:type="dxa" w:w="1234"/>
          </w:tcPr>
          <w:p>
            <w:r>
              <w:rPr>
                <w:rFonts w:ascii="Calibri" w:hAnsi="Calibri"/>
                <w:sz w:val="22"/>
              </w:rPr>
              <w:t>Mid-single-digit ex-China; China VBP headwind ~$75–100M FY</w:t>
            </w:r>
          </w:p>
        </w:tc>
        <w:tc>
          <w:tcPr>
            <w:tcW w:type="dxa" w:w="1234"/>
          </w:tcPr>
          <w:p>
            <w:r>
              <w:rPr>
                <w:rFonts w:ascii="Calibri" w:hAnsi="Calibri"/>
                <w:sz w:val="22"/>
              </w:rPr>
              <w:t>~In line / slight miss</w:t>
            </w:r>
          </w:p>
        </w:tc>
      </w:tr>
      <w:tr>
        <w:tc>
          <w:tcPr>
            <w:tcW w:type="dxa" w:w="1234"/>
          </w:tcPr>
          <w:p>
            <w:r>
              <w:rPr>
                <w:rFonts w:ascii="Calibri" w:hAnsi="Calibri"/>
                <w:sz w:val="22"/>
              </w:rPr>
              <w:t>Adj. Operating Income, $B</w:t>
            </w:r>
          </w:p>
        </w:tc>
        <w:tc>
          <w:tcPr>
            <w:tcW w:type="dxa" w:w="1234"/>
          </w:tcPr>
          <w:p>
            <w:r>
              <w:rPr>
                <w:rFonts w:ascii="Calibri" w:hAnsi="Calibri"/>
                <w:sz w:val="22"/>
              </w:rPr>
              <w:t>$1.795B</w:t>
            </w:r>
          </w:p>
        </w:tc>
        <w:tc>
          <w:tcPr>
            <w:tcW w:type="dxa" w:w="1234"/>
          </w:tcPr>
          <w:p>
            <w:r>
              <w:rPr>
                <w:rFonts w:ascii="Calibri" w:hAnsi="Calibri"/>
                <w:sz w:val="22"/>
              </w:rPr>
              <w:t>$1.618B</w:t>
            </w:r>
          </w:p>
        </w:tc>
        <w:tc>
          <w:tcPr>
            <w:tcW w:type="dxa" w:w="1234"/>
          </w:tcPr>
          <w:p>
            <w:r>
              <w:rPr>
                <w:rFonts w:ascii="Calibri" w:hAnsi="Calibri"/>
                <w:sz w:val="22"/>
              </w:rPr>
              <w:t>$1.623B</w:t>
            </w:r>
          </w:p>
        </w:tc>
        <w:tc>
          <w:tcPr>
            <w:tcW w:type="dxa" w:w="1234"/>
          </w:tcPr>
          <w:p>
            <w:r>
              <w:rPr>
                <w:rFonts w:ascii="Calibri" w:hAnsi="Calibri"/>
                <w:sz w:val="22"/>
              </w:rPr>
              <w:t>+0.3% YoY</w:t>
            </w:r>
          </w:p>
        </w:tc>
        <w:tc>
          <w:tcPr>
            <w:tcW w:type="dxa" w:w="1234"/>
          </w:tcPr>
          <w:p>
            <w:r>
              <w:rPr>
                <w:rFonts w:ascii="Calibri" w:hAnsi="Calibri"/>
                <w:sz w:val="22"/>
              </w:rPr>
              <w:t>~26.5% adj. op. margin (Q2 guide)</w:t>
            </w:r>
          </w:p>
        </w:tc>
        <w:tc>
          <w:tcPr>
            <w:tcW w:type="dxa" w:w="1234"/>
          </w:tcPr>
          <w:p>
            <w:r>
              <w:rPr>
                <w:rFonts w:ascii="Calibri" w:hAnsi="Calibri"/>
                <w:sz w:val="22"/>
              </w:rPr>
              <w:t>~In line</w:t>
            </w:r>
          </w:p>
        </w:tc>
      </w:tr>
      <w:tr>
        <w:tc>
          <w:tcPr>
            <w:tcW w:type="dxa" w:w="1234"/>
          </w:tcPr>
          <w:p>
            <w:r>
              <w:rPr>
                <w:rFonts w:ascii="Calibri" w:hAnsi="Calibri"/>
                <w:sz w:val="22"/>
              </w:rPr>
              <w:t>Free Cash Flow, $B</w:t>
            </w:r>
          </w:p>
        </w:tc>
        <w:tc>
          <w:tcPr>
            <w:tcW w:type="dxa" w:w="1234"/>
          </w:tcPr>
          <w:p>
            <w:r>
              <w:rPr>
                <w:rFonts w:ascii="Calibri" w:hAnsi="Calibri"/>
                <w:sz w:val="22"/>
              </w:rPr>
              <w:t>$1.085B</w:t>
            </w:r>
          </w:p>
        </w:tc>
        <w:tc>
          <w:tcPr>
            <w:tcW w:type="dxa" w:w="1234"/>
          </w:tcPr>
          <w:p>
            <w:r>
              <w:rPr>
                <w:rFonts w:ascii="Calibri" w:hAnsi="Calibri"/>
                <w:sz w:val="22"/>
              </w:rPr>
              <w:t>$1.090B</w:t>
            </w:r>
          </w:p>
        </w:tc>
        <w:tc>
          <w:tcPr>
            <w:tcW w:type="dxa" w:w="1234"/>
          </w:tcPr>
          <w:p>
            <w:r>
              <w:rPr>
                <w:rFonts w:ascii="Calibri" w:hAnsi="Calibri"/>
                <w:sz w:val="22"/>
              </w:rPr>
              <w:t>$1.363B</w:t>
            </w:r>
          </w:p>
        </w:tc>
        <w:tc>
          <w:tcPr>
            <w:tcW w:type="dxa" w:w="1234"/>
          </w:tcPr>
          <w:p>
            <w:r>
              <w:rPr>
                <w:rFonts w:ascii="Calibri" w:hAnsi="Calibri"/>
                <w:sz w:val="22"/>
              </w:rPr>
              <w:t>+25.0% YoY</w:t>
            </w:r>
          </w:p>
        </w:tc>
        <w:tc>
          <w:tcPr>
            <w:tcW w:type="dxa" w:w="1234"/>
          </w:tcPr>
          <w:p>
            <w:r>
              <w:rPr>
                <w:rFonts w:ascii="Calibri" w:hAnsi="Calibri"/>
                <w:sz w:val="22"/>
              </w:rPr>
              <w:t>&gt;$5B FY 2026 (full year)</w:t>
            </w:r>
          </w:p>
        </w:tc>
        <w:tc>
          <w:tcPr>
            <w:tcW w:type="dxa" w:w="1234"/>
          </w:tcPr>
          <w:p>
            <w:r>
              <w:rPr>
                <w:rFonts w:ascii="Calibri" w:hAnsi="Calibri"/>
                <w:sz w:val="22"/>
              </w:rPr>
              <w:t>~In line</w:t>
            </w:r>
          </w:p>
        </w:tc>
      </w:tr>
    </w:tbl>
    <w:p>
      <w:r>
        <w:rPr>
          <w:rFonts w:ascii="Calibri" w:hAnsi="Calibri"/>
          <w:i/>
          <w:color w:val="525866"/>
          <w:sz w:val="22"/>
        </w:rPr>
        <w:t>Source: Visible Alpha Consensus and Actuals Data. All consensus figures as of July 20, 2026. Q2 2026 guidance per DHR Q1 2026 earnings call (April 21, 2026). Adj. operating margin Q2 guide of ~26.5% per management commentary.</w:t>
      </w:r>
    </w:p>
    <w:p>
      <w:pPr>
        <w:pStyle w:val="Heading3"/>
      </w:pPr>
      <w:r>
        <w:rPr>
          <w:rFonts w:ascii="Calibri" w:hAnsi="Calibri"/>
          <w:b/>
          <w:color w:val="3B4259"/>
          <w:sz w:val="24"/>
        </w:rPr>
        <w:t>Table 2 — Beat / Miss History (Last 8 Quarters, Top 2 KPIs)</w:t>
      </w:r>
    </w:p>
    <w:p>
      <w:r>
        <w:rPr>
          <w:rFonts w:ascii="Calibri" w:hAnsi="Calibri"/>
          <w:b/>
          <w:color w:val="525866"/>
          <w:sz w:val="22"/>
        </w:rPr>
        <w:t xml:space="preserve">Top 2 KPIs: </w:t>
      </w:r>
      <w:r>
        <w:rPr>
          <w:rFonts w:ascii="Calibri" w:hAnsi="Calibri"/>
          <w:color w:val="525866"/>
          <w:sz w:val="22"/>
        </w:rPr>
        <w:t>Revenue (Net) and Adjusted Diluted EPS (Operating)</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Revenue</w:t>
            </w:r>
          </w:p>
        </w:tc>
        <w:tc>
          <w:tcPr>
            <w:tcW w:type="dxa" w:w="1440"/>
          </w:tcPr>
          <w:p>
            <w:r>
              <w:rPr>
                <w:rFonts w:ascii="Calibri" w:hAnsi="Calibri"/>
                <w:sz w:val="22"/>
              </w:rPr>
              <w:t>$5.951B</w:t>
            </w:r>
          </w:p>
        </w:tc>
        <w:tc>
          <w:tcPr>
            <w:tcW w:type="dxa" w:w="1440"/>
          </w:tcPr>
          <w:p>
            <w:r>
              <w:rPr>
                <w:rFonts w:ascii="Calibri" w:hAnsi="Calibri"/>
                <w:sz w:val="22"/>
              </w:rPr>
              <w:t>$5.997B</w:t>
            </w:r>
          </w:p>
        </w:tc>
        <w:tc>
          <w:tcPr>
            <w:tcW w:type="dxa" w:w="1440"/>
          </w:tcPr>
          <w:p>
            <w:r>
              <w:rPr>
                <w:rFonts w:ascii="Calibri" w:hAnsi="Calibri"/>
                <w:b/>
                <w:color w:val="E5484D"/>
                <w:sz w:val="22"/>
              </w:rPr>
              <w:t>−0.8%</w:t>
            </w:r>
          </w:p>
        </w:tc>
        <w:tc>
          <w:tcPr>
            <w:tcW w:type="dxa" w:w="1440"/>
          </w:tcPr>
          <w:p>
            <w:r>
              <w:rPr>
                <w:rFonts w:ascii="Calibri" w:hAnsi="Calibri"/>
                <w:sz w:val="22"/>
              </w:rPr>
              <w:t>MISS</w:t>
            </w:r>
          </w:p>
        </w:tc>
      </w:tr>
      <w:tr>
        <w:tc>
          <w:tcPr>
            <w:tcW w:type="dxa" w:w="1440"/>
          </w:tcPr>
          <w:p>
            <w:r>
              <w:rPr>
                <w:rFonts w:ascii="Calibri" w:hAnsi="Calibri"/>
                <w:sz w:val="22"/>
              </w:rPr>
              <w:t>Q1 2026</w:t>
            </w:r>
          </w:p>
        </w:tc>
        <w:tc>
          <w:tcPr>
            <w:tcW w:type="dxa" w:w="1440"/>
          </w:tcPr>
          <w:p>
            <w:r>
              <w:rPr>
                <w:rFonts w:ascii="Calibri" w:hAnsi="Calibri"/>
                <w:sz w:val="22"/>
              </w:rPr>
              <w:t>Adj. EPS</w:t>
            </w:r>
          </w:p>
        </w:tc>
        <w:tc>
          <w:tcPr>
            <w:tcW w:type="dxa" w:w="1440"/>
          </w:tcPr>
          <w:p>
            <w:r>
              <w:rPr>
                <w:rFonts w:ascii="Calibri" w:hAnsi="Calibri"/>
                <w:sz w:val="22"/>
              </w:rPr>
              <w:t>$2.06</w:t>
            </w:r>
          </w:p>
        </w:tc>
        <w:tc>
          <w:tcPr>
            <w:tcW w:type="dxa" w:w="1440"/>
          </w:tcPr>
          <w:p>
            <w:r>
              <w:rPr>
                <w:rFonts w:ascii="Calibri" w:hAnsi="Calibri"/>
                <w:sz w:val="22"/>
              </w:rPr>
              <w:t>$1.94</w:t>
            </w:r>
          </w:p>
        </w:tc>
        <w:tc>
          <w:tcPr>
            <w:tcW w:type="dxa" w:w="1440"/>
          </w:tcPr>
          <w:p>
            <w:r>
              <w:rPr>
                <w:rFonts w:ascii="Calibri" w:hAnsi="Calibri"/>
                <w:b/>
                <w:color w:val="30A46C"/>
                <w:sz w:val="22"/>
              </w:rPr>
              <w:t>+6.2%</w:t>
            </w:r>
          </w:p>
        </w:tc>
        <w:tc>
          <w:tcPr>
            <w:tcW w:type="dxa" w:w="1440"/>
          </w:tcPr>
          <w:p>
            <w:r>
              <w:rPr>
                <w:rFonts w:ascii="Calibri" w:hAnsi="Calibri"/>
                <w:sz w:val="22"/>
              </w:rPr>
              <w:t>BEAT</w:t>
            </w:r>
          </w:p>
        </w:tc>
      </w:tr>
      <w:tr>
        <w:tc>
          <w:tcPr>
            <w:tcW w:type="dxa" w:w="1440"/>
          </w:tcPr>
          <w:p>
            <w:r>
              <w:rPr>
                <w:rFonts w:ascii="Calibri" w:hAnsi="Calibri"/>
                <w:sz w:val="22"/>
              </w:rPr>
              <w:t>Q4 2025</w:t>
            </w:r>
          </w:p>
        </w:tc>
        <w:tc>
          <w:tcPr>
            <w:tcW w:type="dxa" w:w="1440"/>
          </w:tcPr>
          <w:p>
            <w:r>
              <w:rPr>
                <w:rFonts w:ascii="Calibri" w:hAnsi="Calibri"/>
                <w:sz w:val="22"/>
              </w:rPr>
              <w:t>Revenue</w:t>
            </w:r>
          </w:p>
        </w:tc>
        <w:tc>
          <w:tcPr>
            <w:tcW w:type="dxa" w:w="1440"/>
          </w:tcPr>
          <w:p>
            <w:r>
              <w:rPr>
                <w:rFonts w:ascii="Calibri" w:hAnsi="Calibri"/>
                <w:sz w:val="22"/>
              </w:rPr>
              <w:t>$6.838B</w:t>
            </w:r>
          </w:p>
        </w:tc>
        <w:tc>
          <w:tcPr>
            <w:tcW w:type="dxa" w:w="1440"/>
          </w:tcPr>
          <w:p>
            <w:r>
              <w:rPr>
                <w:rFonts w:ascii="Calibri" w:hAnsi="Calibri"/>
                <w:sz w:val="22"/>
              </w:rPr>
              <w:t>$6.813B</w:t>
            </w:r>
          </w:p>
        </w:tc>
        <w:tc>
          <w:tcPr>
            <w:tcW w:type="dxa" w:w="1440"/>
          </w:tcPr>
          <w:p>
            <w:r>
              <w:rPr>
                <w:rFonts w:ascii="Calibri" w:hAnsi="Calibri"/>
                <w:b/>
                <w:color w:val="30A46C"/>
                <w:sz w:val="22"/>
              </w:rPr>
              <w:t>+0.4%</w:t>
            </w:r>
          </w:p>
        </w:tc>
        <w:tc>
          <w:tcPr>
            <w:tcW w:type="dxa" w:w="1440"/>
          </w:tcPr>
          <w:p>
            <w:r>
              <w:rPr>
                <w:rFonts w:ascii="Calibri" w:hAnsi="Calibri"/>
                <w:sz w:val="22"/>
              </w:rPr>
              <w:t>BEAT</w:t>
            </w:r>
          </w:p>
        </w:tc>
      </w:tr>
      <w:tr>
        <w:tc>
          <w:tcPr>
            <w:tcW w:type="dxa" w:w="1440"/>
          </w:tcPr>
          <w:p>
            <w:r>
              <w:rPr>
                <w:rFonts w:ascii="Calibri" w:hAnsi="Calibri"/>
                <w:sz w:val="22"/>
              </w:rPr>
              <w:t>Q4 2025</w:t>
            </w:r>
          </w:p>
        </w:tc>
        <w:tc>
          <w:tcPr>
            <w:tcW w:type="dxa" w:w="1440"/>
          </w:tcPr>
          <w:p>
            <w:r>
              <w:rPr>
                <w:rFonts w:ascii="Calibri" w:hAnsi="Calibri"/>
                <w:sz w:val="22"/>
              </w:rPr>
              <w:t>Adj. EPS</w:t>
            </w:r>
          </w:p>
        </w:tc>
        <w:tc>
          <w:tcPr>
            <w:tcW w:type="dxa" w:w="1440"/>
          </w:tcPr>
          <w:p>
            <w:r>
              <w:rPr>
                <w:rFonts w:ascii="Calibri" w:hAnsi="Calibri"/>
                <w:sz w:val="22"/>
              </w:rPr>
              <w:t>$2.23</w:t>
            </w:r>
          </w:p>
        </w:tc>
        <w:tc>
          <w:tcPr>
            <w:tcW w:type="dxa" w:w="1440"/>
          </w:tcPr>
          <w:p>
            <w:r>
              <w:rPr>
                <w:rFonts w:ascii="Calibri" w:hAnsi="Calibri"/>
                <w:sz w:val="22"/>
              </w:rPr>
              <w:t>$2.17</w:t>
            </w:r>
          </w:p>
        </w:tc>
        <w:tc>
          <w:tcPr>
            <w:tcW w:type="dxa" w:w="1440"/>
          </w:tcPr>
          <w:p>
            <w:r>
              <w:rPr>
                <w:rFonts w:ascii="Calibri" w:hAnsi="Calibri"/>
                <w:b/>
                <w:color w:val="30A46C"/>
                <w:sz w:val="22"/>
              </w:rPr>
              <w:t>+2.8%</w:t>
            </w:r>
          </w:p>
        </w:tc>
        <w:tc>
          <w:tcPr>
            <w:tcW w:type="dxa" w:w="1440"/>
          </w:tcPr>
          <w:p>
            <w:r>
              <w:rPr>
                <w:rFonts w:ascii="Calibri" w:hAnsi="Calibri"/>
                <w:sz w:val="22"/>
              </w:rPr>
              <w:t>BEAT</w:t>
            </w:r>
          </w:p>
        </w:tc>
      </w:tr>
      <w:tr>
        <w:tc>
          <w:tcPr>
            <w:tcW w:type="dxa" w:w="1440"/>
          </w:tcPr>
          <w:p>
            <w:r>
              <w:rPr>
                <w:rFonts w:ascii="Calibri" w:hAnsi="Calibri"/>
                <w:sz w:val="22"/>
              </w:rPr>
              <w:t>Q3 2025</w:t>
            </w:r>
          </w:p>
        </w:tc>
        <w:tc>
          <w:tcPr>
            <w:tcW w:type="dxa" w:w="1440"/>
          </w:tcPr>
          <w:p>
            <w:r>
              <w:rPr>
                <w:rFonts w:ascii="Calibri" w:hAnsi="Calibri"/>
                <w:sz w:val="22"/>
              </w:rPr>
              <w:t>Revenue</w:t>
            </w:r>
          </w:p>
        </w:tc>
        <w:tc>
          <w:tcPr>
            <w:tcW w:type="dxa" w:w="1440"/>
          </w:tcPr>
          <w:p>
            <w:r>
              <w:rPr>
                <w:rFonts w:ascii="Calibri" w:hAnsi="Calibri"/>
                <w:sz w:val="22"/>
              </w:rPr>
              <w:t>$6.053B</w:t>
            </w:r>
          </w:p>
        </w:tc>
        <w:tc>
          <w:tcPr>
            <w:tcW w:type="dxa" w:w="1440"/>
          </w:tcPr>
          <w:p>
            <w:r>
              <w:rPr>
                <w:rFonts w:ascii="Calibri" w:hAnsi="Calibri"/>
                <w:sz w:val="22"/>
              </w:rPr>
              <w:t>$6.016B</w:t>
            </w:r>
          </w:p>
        </w:tc>
        <w:tc>
          <w:tcPr>
            <w:tcW w:type="dxa" w:w="1440"/>
          </w:tcPr>
          <w:p>
            <w:r>
              <w:rPr>
                <w:rFonts w:ascii="Calibri" w:hAnsi="Calibri"/>
                <w:b/>
                <w:color w:val="30A46C"/>
                <w:sz w:val="22"/>
              </w:rPr>
              <w:t>+0.6%</w:t>
            </w:r>
          </w:p>
        </w:tc>
        <w:tc>
          <w:tcPr>
            <w:tcW w:type="dxa" w:w="1440"/>
          </w:tcPr>
          <w:p>
            <w:r>
              <w:rPr>
                <w:rFonts w:ascii="Calibri" w:hAnsi="Calibri"/>
                <w:sz w:val="22"/>
              </w:rPr>
              <w:t>BEAT</w:t>
            </w:r>
          </w:p>
        </w:tc>
      </w:tr>
      <w:tr>
        <w:tc>
          <w:tcPr>
            <w:tcW w:type="dxa" w:w="1440"/>
          </w:tcPr>
          <w:p>
            <w:r>
              <w:rPr>
                <w:rFonts w:ascii="Calibri" w:hAnsi="Calibri"/>
                <w:sz w:val="22"/>
              </w:rPr>
              <w:t>Q3 2025</w:t>
            </w:r>
          </w:p>
        </w:tc>
        <w:tc>
          <w:tcPr>
            <w:tcW w:type="dxa" w:w="1440"/>
          </w:tcPr>
          <w:p>
            <w:r>
              <w:rPr>
                <w:rFonts w:ascii="Calibri" w:hAnsi="Calibri"/>
                <w:sz w:val="22"/>
              </w:rPr>
              <w:t>Adj. EPS</w:t>
            </w:r>
          </w:p>
        </w:tc>
        <w:tc>
          <w:tcPr>
            <w:tcW w:type="dxa" w:w="1440"/>
          </w:tcPr>
          <w:p>
            <w:r>
              <w:rPr>
                <w:rFonts w:ascii="Calibri" w:hAnsi="Calibri"/>
                <w:sz w:val="22"/>
              </w:rPr>
              <w:t>$1.89</w:t>
            </w:r>
          </w:p>
        </w:tc>
        <w:tc>
          <w:tcPr>
            <w:tcW w:type="dxa" w:w="1440"/>
          </w:tcPr>
          <w:p>
            <w:r>
              <w:rPr>
                <w:rFonts w:ascii="Calibri" w:hAnsi="Calibri"/>
                <w:sz w:val="22"/>
              </w:rPr>
              <w:t>$1.72</w:t>
            </w:r>
          </w:p>
        </w:tc>
        <w:tc>
          <w:tcPr>
            <w:tcW w:type="dxa" w:w="1440"/>
          </w:tcPr>
          <w:p>
            <w:r>
              <w:rPr>
                <w:rFonts w:ascii="Calibri" w:hAnsi="Calibri"/>
                <w:b/>
                <w:color w:val="30A46C"/>
                <w:sz w:val="22"/>
              </w:rPr>
              <w:t>+9.9%</w:t>
            </w:r>
          </w:p>
        </w:tc>
        <w:tc>
          <w:tcPr>
            <w:tcW w:type="dxa" w:w="1440"/>
          </w:tcPr>
          <w:p>
            <w:r>
              <w:rPr>
                <w:rFonts w:ascii="Calibri" w:hAnsi="Calibri"/>
                <w:sz w:val="22"/>
              </w:rPr>
              <w:t>BEAT</w:t>
            </w:r>
          </w:p>
        </w:tc>
      </w:tr>
      <w:tr>
        <w:tc>
          <w:tcPr>
            <w:tcW w:type="dxa" w:w="1440"/>
          </w:tcPr>
          <w:p>
            <w:r>
              <w:rPr>
                <w:rFonts w:ascii="Calibri" w:hAnsi="Calibri"/>
                <w:sz w:val="22"/>
              </w:rPr>
              <w:t>Q2 2025</w:t>
            </w:r>
          </w:p>
        </w:tc>
        <w:tc>
          <w:tcPr>
            <w:tcW w:type="dxa" w:w="1440"/>
          </w:tcPr>
          <w:p>
            <w:r>
              <w:rPr>
                <w:rFonts w:ascii="Calibri" w:hAnsi="Calibri"/>
                <w:sz w:val="22"/>
              </w:rPr>
              <w:t>Revenue</w:t>
            </w:r>
          </w:p>
        </w:tc>
        <w:tc>
          <w:tcPr>
            <w:tcW w:type="dxa" w:w="1440"/>
          </w:tcPr>
          <w:p>
            <w:r>
              <w:rPr>
                <w:rFonts w:ascii="Calibri" w:hAnsi="Calibri"/>
                <w:sz w:val="22"/>
              </w:rPr>
              <w:t>$5.936B</w:t>
            </w:r>
          </w:p>
        </w:tc>
        <w:tc>
          <w:tcPr>
            <w:tcW w:type="dxa" w:w="1440"/>
          </w:tcPr>
          <w:p>
            <w:r>
              <w:rPr>
                <w:rFonts w:ascii="Calibri" w:hAnsi="Calibri"/>
                <w:sz w:val="22"/>
              </w:rPr>
              <w:t>$5.838B</w:t>
            </w:r>
          </w:p>
        </w:tc>
        <w:tc>
          <w:tcPr>
            <w:tcW w:type="dxa" w:w="1440"/>
          </w:tcPr>
          <w:p>
            <w:r>
              <w:rPr>
                <w:rFonts w:ascii="Calibri" w:hAnsi="Calibri"/>
                <w:b/>
                <w:color w:val="30A46C"/>
                <w:sz w:val="22"/>
              </w:rPr>
              <w:t>+1.7%</w:t>
            </w:r>
          </w:p>
        </w:tc>
        <w:tc>
          <w:tcPr>
            <w:tcW w:type="dxa" w:w="1440"/>
          </w:tcPr>
          <w:p>
            <w:r>
              <w:rPr>
                <w:rFonts w:ascii="Calibri" w:hAnsi="Calibri"/>
                <w:sz w:val="22"/>
              </w:rPr>
              <w:t>BEAT</w:t>
            </w:r>
          </w:p>
        </w:tc>
      </w:tr>
      <w:tr>
        <w:tc>
          <w:tcPr>
            <w:tcW w:type="dxa" w:w="1440"/>
          </w:tcPr>
          <w:p>
            <w:r>
              <w:rPr>
                <w:rFonts w:ascii="Calibri" w:hAnsi="Calibri"/>
                <w:sz w:val="22"/>
              </w:rPr>
              <w:t>Q2 2025</w:t>
            </w:r>
          </w:p>
        </w:tc>
        <w:tc>
          <w:tcPr>
            <w:tcW w:type="dxa" w:w="1440"/>
          </w:tcPr>
          <w:p>
            <w:r>
              <w:rPr>
                <w:rFonts w:ascii="Calibri" w:hAnsi="Calibri"/>
                <w:sz w:val="22"/>
              </w:rPr>
              <w:t>Adj. EPS</w:t>
            </w:r>
          </w:p>
        </w:tc>
        <w:tc>
          <w:tcPr>
            <w:tcW w:type="dxa" w:w="1440"/>
          </w:tcPr>
          <w:p>
            <w:r>
              <w:rPr>
                <w:rFonts w:ascii="Calibri" w:hAnsi="Calibri"/>
                <w:sz w:val="22"/>
              </w:rPr>
              <w:t>$1.80</w:t>
            </w:r>
          </w:p>
        </w:tc>
        <w:tc>
          <w:tcPr>
            <w:tcW w:type="dxa" w:w="1440"/>
          </w:tcPr>
          <w:p>
            <w:r>
              <w:rPr>
                <w:rFonts w:ascii="Calibri" w:hAnsi="Calibri"/>
                <w:sz w:val="22"/>
              </w:rPr>
              <w:t>$1.64</w:t>
            </w:r>
          </w:p>
        </w:tc>
        <w:tc>
          <w:tcPr>
            <w:tcW w:type="dxa" w:w="1440"/>
          </w:tcPr>
          <w:p>
            <w:r>
              <w:rPr>
                <w:rFonts w:ascii="Calibri" w:hAnsi="Calibri"/>
                <w:b/>
                <w:color w:val="30A46C"/>
                <w:sz w:val="22"/>
              </w:rPr>
              <w:t>+9.8%</w:t>
            </w:r>
          </w:p>
        </w:tc>
        <w:tc>
          <w:tcPr>
            <w:tcW w:type="dxa" w:w="1440"/>
          </w:tcPr>
          <w:p>
            <w:r>
              <w:rPr>
                <w:rFonts w:ascii="Calibri" w:hAnsi="Calibri"/>
                <w:sz w:val="22"/>
              </w:rPr>
              <w:t>BEAT</w:t>
            </w:r>
          </w:p>
        </w:tc>
      </w:tr>
      <w:tr>
        <w:tc>
          <w:tcPr>
            <w:tcW w:type="dxa" w:w="1440"/>
          </w:tcPr>
          <w:p>
            <w:r>
              <w:rPr>
                <w:rFonts w:ascii="Calibri" w:hAnsi="Calibri"/>
                <w:sz w:val="22"/>
              </w:rPr>
              <w:t>Q1 2025</w:t>
            </w:r>
          </w:p>
        </w:tc>
        <w:tc>
          <w:tcPr>
            <w:tcW w:type="dxa" w:w="1440"/>
          </w:tcPr>
          <w:p>
            <w:r>
              <w:rPr>
                <w:rFonts w:ascii="Calibri" w:hAnsi="Calibri"/>
                <w:sz w:val="22"/>
              </w:rPr>
              <w:t>Revenue</w:t>
            </w:r>
          </w:p>
        </w:tc>
        <w:tc>
          <w:tcPr>
            <w:tcW w:type="dxa" w:w="1440"/>
          </w:tcPr>
          <w:p>
            <w:r>
              <w:rPr>
                <w:rFonts w:ascii="Calibri" w:hAnsi="Calibri"/>
                <w:sz w:val="22"/>
              </w:rPr>
              <w:t>$5.741B</w:t>
            </w:r>
          </w:p>
        </w:tc>
        <w:tc>
          <w:tcPr>
            <w:tcW w:type="dxa" w:w="1440"/>
          </w:tcPr>
          <w:p>
            <w:r>
              <w:rPr>
                <w:rFonts w:ascii="Calibri" w:hAnsi="Calibri"/>
                <w:sz w:val="22"/>
              </w:rPr>
              <w:t>$5.588B</w:t>
            </w:r>
          </w:p>
        </w:tc>
        <w:tc>
          <w:tcPr>
            <w:tcW w:type="dxa" w:w="1440"/>
          </w:tcPr>
          <w:p>
            <w:r>
              <w:rPr>
                <w:rFonts w:ascii="Calibri" w:hAnsi="Calibri"/>
                <w:b/>
                <w:color w:val="30A46C"/>
                <w:sz w:val="22"/>
              </w:rPr>
              <w:t>+2.7%</w:t>
            </w:r>
          </w:p>
        </w:tc>
        <w:tc>
          <w:tcPr>
            <w:tcW w:type="dxa" w:w="1440"/>
          </w:tcPr>
          <w:p>
            <w:r>
              <w:rPr>
                <w:rFonts w:ascii="Calibri" w:hAnsi="Calibri"/>
                <w:sz w:val="22"/>
              </w:rPr>
              <w:t>BEAT</w:t>
            </w:r>
          </w:p>
        </w:tc>
      </w:tr>
      <w:tr>
        <w:tc>
          <w:tcPr>
            <w:tcW w:type="dxa" w:w="1440"/>
          </w:tcPr>
          <w:p>
            <w:r>
              <w:rPr>
                <w:rFonts w:ascii="Calibri" w:hAnsi="Calibri"/>
                <w:sz w:val="22"/>
              </w:rPr>
              <w:t>Q1 2025</w:t>
            </w:r>
          </w:p>
        </w:tc>
        <w:tc>
          <w:tcPr>
            <w:tcW w:type="dxa" w:w="1440"/>
          </w:tcPr>
          <w:p>
            <w:r>
              <w:rPr>
                <w:rFonts w:ascii="Calibri" w:hAnsi="Calibri"/>
                <w:sz w:val="22"/>
              </w:rPr>
              <w:t>Adj. EPS</w:t>
            </w:r>
          </w:p>
        </w:tc>
        <w:tc>
          <w:tcPr>
            <w:tcW w:type="dxa" w:w="1440"/>
          </w:tcPr>
          <w:p>
            <w:r>
              <w:rPr>
                <w:rFonts w:ascii="Calibri" w:hAnsi="Calibri"/>
                <w:sz w:val="22"/>
              </w:rPr>
              <w:t>$1.88</w:t>
            </w:r>
          </w:p>
        </w:tc>
        <w:tc>
          <w:tcPr>
            <w:tcW w:type="dxa" w:w="1440"/>
          </w:tcPr>
          <w:p>
            <w:r>
              <w:rPr>
                <w:rFonts w:ascii="Calibri" w:hAnsi="Calibri"/>
                <w:sz w:val="22"/>
              </w:rPr>
              <w:t>$1.64</w:t>
            </w:r>
          </w:p>
        </w:tc>
        <w:tc>
          <w:tcPr>
            <w:tcW w:type="dxa" w:w="1440"/>
          </w:tcPr>
          <w:p>
            <w:r>
              <w:rPr>
                <w:rFonts w:ascii="Calibri" w:hAnsi="Calibri"/>
                <w:b/>
                <w:color w:val="30A46C"/>
                <w:sz w:val="22"/>
              </w:rPr>
              <w:t>+14.6%</w:t>
            </w:r>
          </w:p>
        </w:tc>
        <w:tc>
          <w:tcPr>
            <w:tcW w:type="dxa" w:w="1440"/>
          </w:tcPr>
          <w:p>
            <w:r>
              <w:rPr>
                <w:rFonts w:ascii="Calibri" w:hAnsi="Calibri"/>
                <w:sz w:val="22"/>
              </w:rPr>
              <w:t>BEAT</w:t>
            </w:r>
          </w:p>
        </w:tc>
      </w:tr>
      <w:tr>
        <w:tc>
          <w:tcPr>
            <w:tcW w:type="dxa" w:w="1440"/>
          </w:tcPr>
          <w:p>
            <w:r>
              <w:rPr>
                <w:rFonts w:ascii="Calibri" w:hAnsi="Calibri"/>
                <w:sz w:val="22"/>
              </w:rPr>
              <w:t>Q4 2024</w:t>
            </w:r>
          </w:p>
        </w:tc>
        <w:tc>
          <w:tcPr>
            <w:tcW w:type="dxa" w:w="1440"/>
          </w:tcPr>
          <w:p>
            <w:r>
              <w:rPr>
                <w:rFonts w:ascii="Calibri" w:hAnsi="Calibri"/>
                <w:sz w:val="22"/>
              </w:rPr>
              <w:t>Revenue</w:t>
            </w:r>
          </w:p>
        </w:tc>
        <w:tc>
          <w:tcPr>
            <w:tcW w:type="dxa" w:w="1440"/>
          </w:tcPr>
          <w:p>
            <w:r>
              <w:rPr>
                <w:rFonts w:ascii="Calibri" w:hAnsi="Calibri"/>
                <w:sz w:val="22"/>
              </w:rPr>
              <w:t>$6.538B</w:t>
            </w:r>
          </w:p>
        </w:tc>
        <w:tc>
          <w:tcPr>
            <w:tcW w:type="dxa" w:w="1440"/>
          </w:tcPr>
          <w:p>
            <w:r>
              <w:rPr>
                <w:rFonts w:ascii="Calibri" w:hAnsi="Calibri"/>
                <w:sz w:val="22"/>
              </w:rPr>
              <w:t>$6.427B</w:t>
            </w:r>
          </w:p>
        </w:tc>
        <w:tc>
          <w:tcPr>
            <w:tcW w:type="dxa" w:w="1440"/>
          </w:tcPr>
          <w:p>
            <w:r>
              <w:rPr>
                <w:rFonts w:ascii="Calibri" w:hAnsi="Calibri"/>
                <w:b/>
                <w:color w:val="30A46C"/>
                <w:sz w:val="22"/>
              </w:rPr>
              <w:t>+1.7%</w:t>
            </w:r>
          </w:p>
        </w:tc>
        <w:tc>
          <w:tcPr>
            <w:tcW w:type="dxa" w:w="1440"/>
          </w:tcPr>
          <w:p>
            <w:r>
              <w:rPr>
                <w:rFonts w:ascii="Calibri" w:hAnsi="Calibri"/>
                <w:sz w:val="22"/>
              </w:rPr>
              <w:t>BEAT</w:t>
            </w:r>
          </w:p>
        </w:tc>
      </w:tr>
      <w:tr>
        <w:tc>
          <w:tcPr>
            <w:tcW w:type="dxa" w:w="1440"/>
          </w:tcPr>
          <w:p>
            <w:r>
              <w:rPr>
                <w:rFonts w:ascii="Calibri" w:hAnsi="Calibri"/>
                <w:sz w:val="22"/>
              </w:rPr>
              <w:t>Q4 2024</w:t>
            </w:r>
          </w:p>
        </w:tc>
        <w:tc>
          <w:tcPr>
            <w:tcW w:type="dxa" w:w="1440"/>
          </w:tcPr>
          <w:p>
            <w:r>
              <w:rPr>
                <w:rFonts w:ascii="Calibri" w:hAnsi="Calibri"/>
                <w:sz w:val="22"/>
              </w:rPr>
              <w:t>Adj. EPS</w:t>
            </w:r>
          </w:p>
        </w:tc>
        <w:tc>
          <w:tcPr>
            <w:tcW w:type="dxa" w:w="1440"/>
          </w:tcPr>
          <w:p>
            <w:r>
              <w:rPr>
                <w:rFonts w:ascii="Calibri" w:hAnsi="Calibri"/>
                <w:sz w:val="22"/>
              </w:rPr>
              <w:t>$2.14</w:t>
            </w:r>
          </w:p>
        </w:tc>
        <w:tc>
          <w:tcPr>
            <w:tcW w:type="dxa" w:w="1440"/>
          </w:tcPr>
          <w:p>
            <w:r>
              <w:rPr>
                <w:rFonts w:ascii="Calibri" w:hAnsi="Calibri"/>
                <w:sz w:val="22"/>
              </w:rPr>
              <w:t>$2.15</w:t>
            </w:r>
          </w:p>
        </w:tc>
        <w:tc>
          <w:tcPr>
            <w:tcW w:type="dxa" w:w="1440"/>
          </w:tcPr>
          <w:p>
            <w:r>
              <w:rPr>
                <w:rFonts w:ascii="Calibri" w:hAnsi="Calibri"/>
                <w:b/>
                <w:color w:val="E5484D"/>
                <w:sz w:val="22"/>
              </w:rPr>
              <w:t>−0.5%</w:t>
            </w:r>
          </w:p>
        </w:tc>
        <w:tc>
          <w:tcPr>
            <w:tcW w:type="dxa" w:w="1440"/>
          </w:tcPr>
          <w:p>
            <w:r>
              <w:rPr>
                <w:rFonts w:ascii="Calibri" w:hAnsi="Calibri"/>
                <w:sz w:val="22"/>
              </w:rPr>
              <w:t>MISS</w:t>
            </w:r>
          </w:p>
        </w:tc>
      </w:tr>
      <w:tr>
        <w:tc>
          <w:tcPr>
            <w:tcW w:type="dxa" w:w="1440"/>
          </w:tcPr>
          <w:p>
            <w:r>
              <w:rPr>
                <w:rFonts w:ascii="Calibri" w:hAnsi="Calibri"/>
                <w:sz w:val="22"/>
              </w:rPr>
              <w:t>Q3 2024</w:t>
            </w:r>
          </w:p>
        </w:tc>
        <w:tc>
          <w:tcPr>
            <w:tcW w:type="dxa" w:w="1440"/>
          </w:tcPr>
          <w:p>
            <w:r>
              <w:rPr>
                <w:rFonts w:ascii="Calibri" w:hAnsi="Calibri"/>
                <w:sz w:val="22"/>
              </w:rPr>
              <w:t>Revenue</w:t>
            </w:r>
          </w:p>
        </w:tc>
        <w:tc>
          <w:tcPr>
            <w:tcW w:type="dxa" w:w="1440"/>
          </w:tcPr>
          <w:p>
            <w:r>
              <w:rPr>
                <w:rFonts w:ascii="Calibri" w:hAnsi="Calibri"/>
                <w:sz w:val="22"/>
              </w:rPr>
              <w:t>$5.798B</w:t>
            </w:r>
          </w:p>
        </w:tc>
        <w:tc>
          <w:tcPr>
            <w:tcW w:type="dxa" w:w="1440"/>
          </w:tcPr>
          <w:p>
            <w:r>
              <w:rPr>
                <w:rFonts w:ascii="Calibri" w:hAnsi="Calibri"/>
                <w:sz w:val="22"/>
              </w:rPr>
              <w:t>$5.586B</w:t>
            </w:r>
          </w:p>
        </w:tc>
        <w:tc>
          <w:tcPr>
            <w:tcW w:type="dxa" w:w="1440"/>
          </w:tcPr>
          <w:p>
            <w:r>
              <w:rPr>
                <w:rFonts w:ascii="Calibri" w:hAnsi="Calibri"/>
                <w:b/>
                <w:color w:val="30A46C"/>
                <w:sz w:val="22"/>
              </w:rPr>
              <w:t>+3.8%</w:t>
            </w:r>
          </w:p>
        </w:tc>
        <w:tc>
          <w:tcPr>
            <w:tcW w:type="dxa" w:w="1440"/>
          </w:tcPr>
          <w:p>
            <w:r>
              <w:rPr>
                <w:rFonts w:ascii="Calibri" w:hAnsi="Calibri"/>
                <w:sz w:val="22"/>
              </w:rPr>
              <w:t>BEAT</w:t>
            </w:r>
          </w:p>
        </w:tc>
      </w:tr>
      <w:tr>
        <w:tc>
          <w:tcPr>
            <w:tcW w:type="dxa" w:w="1440"/>
          </w:tcPr>
          <w:p>
            <w:r>
              <w:rPr>
                <w:rFonts w:ascii="Calibri" w:hAnsi="Calibri"/>
                <w:sz w:val="22"/>
              </w:rPr>
              <w:t>Q3 2024</w:t>
            </w:r>
          </w:p>
        </w:tc>
        <w:tc>
          <w:tcPr>
            <w:tcW w:type="dxa" w:w="1440"/>
          </w:tcPr>
          <w:p>
            <w:r>
              <w:rPr>
                <w:rFonts w:ascii="Calibri" w:hAnsi="Calibri"/>
                <w:sz w:val="22"/>
              </w:rPr>
              <w:t>Adj. EPS</w:t>
            </w:r>
          </w:p>
        </w:tc>
        <w:tc>
          <w:tcPr>
            <w:tcW w:type="dxa" w:w="1440"/>
          </w:tcPr>
          <w:p>
            <w:r>
              <w:rPr>
                <w:rFonts w:ascii="Calibri" w:hAnsi="Calibri"/>
                <w:sz w:val="22"/>
              </w:rPr>
              <w:t>$1.71</w:t>
            </w:r>
          </w:p>
        </w:tc>
        <w:tc>
          <w:tcPr>
            <w:tcW w:type="dxa" w:w="1440"/>
          </w:tcPr>
          <w:p>
            <w:r>
              <w:rPr>
                <w:rFonts w:ascii="Calibri" w:hAnsi="Calibri"/>
                <w:sz w:val="22"/>
              </w:rPr>
              <w:t>$1.58</w:t>
            </w:r>
          </w:p>
        </w:tc>
        <w:tc>
          <w:tcPr>
            <w:tcW w:type="dxa" w:w="1440"/>
          </w:tcPr>
          <w:p>
            <w:r>
              <w:rPr>
                <w:rFonts w:ascii="Calibri" w:hAnsi="Calibri"/>
                <w:b/>
                <w:color w:val="30A46C"/>
                <w:sz w:val="22"/>
              </w:rPr>
              <w:t>+8.2%</w:t>
            </w:r>
          </w:p>
        </w:tc>
        <w:tc>
          <w:tcPr>
            <w:tcW w:type="dxa" w:w="1440"/>
          </w:tcPr>
          <w:p>
            <w:r>
              <w:rPr>
                <w:rFonts w:ascii="Calibri" w:hAnsi="Calibri"/>
                <w:sz w:val="22"/>
              </w:rPr>
              <w:t>BEAT</w:t>
            </w:r>
          </w:p>
        </w:tc>
      </w:tr>
      <w:tr>
        <w:tc>
          <w:tcPr>
            <w:tcW w:type="dxa" w:w="1440"/>
          </w:tcPr>
          <w:p>
            <w:r>
              <w:rPr>
                <w:rFonts w:ascii="Calibri" w:hAnsi="Calibri"/>
                <w:sz w:val="22"/>
              </w:rPr>
              <w:t>Q2 2024</w:t>
            </w:r>
          </w:p>
        </w:tc>
        <w:tc>
          <w:tcPr>
            <w:tcW w:type="dxa" w:w="1440"/>
          </w:tcPr>
          <w:p>
            <w:r>
              <w:rPr>
                <w:rFonts w:ascii="Calibri" w:hAnsi="Calibri"/>
                <w:sz w:val="22"/>
              </w:rPr>
              <w:t>Revenue</w:t>
            </w:r>
          </w:p>
        </w:tc>
        <w:tc>
          <w:tcPr>
            <w:tcW w:type="dxa" w:w="1440"/>
          </w:tcPr>
          <w:p>
            <w:r>
              <w:rPr>
                <w:rFonts w:ascii="Calibri" w:hAnsi="Calibri"/>
                <w:sz w:val="22"/>
              </w:rPr>
              <w:t>$5.743B</w:t>
            </w:r>
          </w:p>
        </w:tc>
        <w:tc>
          <w:tcPr>
            <w:tcW w:type="dxa" w:w="1440"/>
          </w:tcPr>
          <w:p>
            <w:r>
              <w:rPr>
                <w:rFonts w:ascii="Calibri" w:hAnsi="Calibri"/>
                <w:sz w:val="22"/>
              </w:rPr>
              <w:t>$5.583B</w:t>
            </w:r>
          </w:p>
        </w:tc>
        <w:tc>
          <w:tcPr>
            <w:tcW w:type="dxa" w:w="1440"/>
          </w:tcPr>
          <w:p>
            <w:r>
              <w:rPr>
                <w:rFonts w:ascii="Calibri" w:hAnsi="Calibri"/>
                <w:b/>
                <w:color w:val="30A46C"/>
                <w:sz w:val="22"/>
              </w:rPr>
              <w:t>+2.9%</w:t>
            </w:r>
          </w:p>
        </w:tc>
        <w:tc>
          <w:tcPr>
            <w:tcW w:type="dxa" w:w="1440"/>
          </w:tcPr>
          <w:p>
            <w:r>
              <w:rPr>
                <w:rFonts w:ascii="Calibri" w:hAnsi="Calibri"/>
                <w:sz w:val="22"/>
              </w:rPr>
              <w:t>BEAT</w:t>
            </w:r>
          </w:p>
        </w:tc>
      </w:tr>
      <w:tr>
        <w:tc>
          <w:tcPr>
            <w:tcW w:type="dxa" w:w="1440"/>
          </w:tcPr>
          <w:p>
            <w:r>
              <w:rPr>
                <w:rFonts w:ascii="Calibri" w:hAnsi="Calibri"/>
                <w:sz w:val="22"/>
              </w:rPr>
              <w:t>Q2 2024</w:t>
            </w:r>
          </w:p>
        </w:tc>
        <w:tc>
          <w:tcPr>
            <w:tcW w:type="dxa" w:w="1440"/>
          </w:tcPr>
          <w:p>
            <w:r>
              <w:rPr>
                <w:rFonts w:ascii="Calibri" w:hAnsi="Calibri"/>
                <w:sz w:val="22"/>
              </w:rPr>
              <w:t>Adj. EPS</w:t>
            </w:r>
          </w:p>
        </w:tc>
        <w:tc>
          <w:tcPr>
            <w:tcW w:type="dxa" w:w="1440"/>
          </w:tcPr>
          <w:p>
            <w:r>
              <w:rPr>
                <w:rFonts w:ascii="Calibri" w:hAnsi="Calibri"/>
                <w:sz w:val="22"/>
              </w:rPr>
              <w:t>$1.72</w:t>
            </w:r>
          </w:p>
        </w:tc>
        <w:tc>
          <w:tcPr>
            <w:tcW w:type="dxa" w:w="1440"/>
          </w:tcPr>
          <w:p>
            <w:r>
              <w:rPr>
                <w:rFonts w:ascii="Calibri" w:hAnsi="Calibri"/>
                <w:sz w:val="22"/>
              </w:rPr>
              <w:t>$1.58</w:t>
            </w:r>
          </w:p>
        </w:tc>
        <w:tc>
          <w:tcPr>
            <w:tcW w:type="dxa" w:w="1440"/>
          </w:tcPr>
          <w:p>
            <w:r>
              <w:rPr>
                <w:rFonts w:ascii="Calibri" w:hAnsi="Calibri"/>
                <w:b/>
                <w:color w:val="30A46C"/>
                <w:sz w:val="22"/>
              </w:rPr>
              <w:t>+8.9%</w:t>
            </w:r>
          </w:p>
        </w:tc>
        <w:tc>
          <w:tcPr>
            <w:tcW w:type="dxa" w:w="1440"/>
          </w:tcPr>
          <w:p>
            <w:r>
              <w:rPr>
                <w:rFonts w:ascii="Calibri" w:hAnsi="Calibri"/>
                <w:sz w:val="22"/>
              </w:rPr>
              <w:t>BEAT</w:t>
            </w:r>
          </w:p>
        </w:tc>
      </w:tr>
    </w:tbl>
    <w:p>
      <w:r>
        <w:rPr>
          <w:rFonts w:ascii="Calibri" w:hAnsi="Calibri"/>
          <w:b/>
          <w:color w:val="525866"/>
          <w:sz w:val="22"/>
        </w:rPr>
        <w:t xml:space="preserve">Pattern: </w:t>
      </w:r>
      <w:r>
        <w:rPr>
          <w:rFonts w:ascii="Calibri" w:hAnsi="Calibri"/>
          <w:i/>
          <w:color w:val="525866"/>
          <w:sz w:val="22"/>
        </w:rPr>
        <w:t>DHR has beaten adjusted EPS consensus in 7 of the last 8 quarters (the lone miss in Q4 2024 was by just $0.01), with an average EPS beat of ~+7–10%; revenue beats are more modest (+1–4%) with one revenue miss in Q1 2026 — the consistent EPS outperformance reflects DBS-driven cost discipline that reliably offsets top-line softness.</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Management's guidance has been stable since the Q1 2026 print — the only post-earnings update was the </w:t>
      </w:r>
      <w:r>
        <w:rPr>
          <w:rFonts w:ascii="Calibri" w:hAnsi="Calibri"/>
          <w:b/>
          <w:color w:val="525866"/>
          <w:sz w:val="22"/>
        </w:rPr>
        <w:t>Masimo acquisition close on June 10, 2026</w:t>
      </w:r>
      <w:r>
        <w:rPr>
          <w:rFonts w:ascii="Calibri" w:hAnsi="Calibri"/>
          <w:color w:val="525866"/>
          <w:sz w:val="22"/>
        </w:rPr>
        <w:t>, which confirmed no material Q2 contribution and flagged that full-year guidance will be updated at Q2 earnings to incorporate Masimo; tone remains constructive with confidence in H2 acceleration.</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21)</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2026 Core Revenue Growth</w:t>
            </w:r>
          </w:p>
        </w:tc>
        <w:tc>
          <w:tcPr>
            <w:tcW w:type="dxa" w:w="1728"/>
          </w:tcPr>
          <w:p>
            <w:r>
              <w:rPr>
                <w:rFonts w:ascii="Calibri" w:hAnsi="Calibri"/>
                <w:sz w:val="22"/>
              </w:rPr>
              <w:t>Low single digits YoY</w:t>
            </w:r>
          </w:p>
        </w:tc>
        <w:tc>
          <w:tcPr>
            <w:tcW w:type="dxa" w:w="1728"/>
          </w:tcPr>
          <w:p>
            <w:r>
              <w:rPr>
                <w:rFonts w:ascii="Calibri" w:hAnsi="Calibri"/>
                <w:sz w:val="22"/>
              </w:rPr>
              <w:t>—</w:t>
            </w:r>
          </w:p>
        </w:tc>
        <w:tc>
          <w:tcPr>
            <w:tcW w:type="dxa" w:w="1728"/>
          </w:tcPr>
          <w:p>
            <w:r>
              <w:rPr>
                <w:rFonts w:ascii="Calibri" w:hAnsi="Calibri"/>
                <w:sz w:val="22"/>
              </w:rPr>
              <w:t>~+2.0% (consensus)</w:t>
            </w:r>
          </w:p>
        </w:tc>
        <w:tc>
          <w:tcPr>
            <w:tcW w:type="dxa" w:w="1728"/>
          </w:tcPr>
          <w:p>
            <w:r>
              <w:rPr>
                <w:rFonts w:ascii="Calibri" w:hAnsi="Calibri"/>
                <w:sz w:val="22"/>
              </w:rPr>
              <w:t>Unchanged; consensus sits below midpoint of guide</w:t>
            </w:r>
          </w:p>
        </w:tc>
      </w:tr>
      <w:tr>
        <w:tc>
          <w:tcPr>
            <w:tcW w:type="dxa" w:w="1728"/>
          </w:tcPr>
          <w:p>
            <w:r>
              <w:rPr>
                <w:rFonts w:ascii="Calibri" w:hAnsi="Calibri"/>
                <w:sz w:val="22"/>
              </w:rPr>
              <w:t>Q2 2026 Adj. Operating Margin</w:t>
            </w:r>
          </w:p>
        </w:tc>
        <w:tc>
          <w:tcPr>
            <w:tcW w:type="dxa" w:w="1728"/>
          </w:tcPr>
          <w:p>
            <w:r>
              <w:rPr>
                <w:rFonts w:ascii="Calibri" w:hAnsi="Calibri"/>
                <w:sz w:val="22"/>
              </w:rPr>
              <w:t>~26.5%</w:t>
            </w:r>
          </w:p>
        </w:tc>
        <w:tc>
          <w:tcPr>
            <w:tcW w:type="dxa" w:w="1728"/>
          </w:tcPr>
          <w:p>
            <w:r>
              <w:rPr>
                <w:rFonts w:ascii="Calibri" w:hAnsi="Calibri"/>
                <w:sz w:val="22"/>
              </w:rPr>
              <w:t>—</w:t>
            </w:r>
          </w:p>
        </w:tc>
        <w:tc>
          <w:tcPr>
            <w:tcW w:type="dxa" w:w="1728"/>
          </w:tcPr>
          <w:p>
            <w:r>
              <w:rPr>
                <w:rFonts w:ascii="Calibri" w:hAnsi="Calibri"/>
                <w:sz w:val="22"/>
              </w:rPr>
              <w:t>~26.6% (implied)</w:t>
            </w:r>
          </w:p>
        </w:tc>
        <w:tc>
          <w:tcPr>
            <w:tcW w:type="dxa" w:w="1728"/>
          </w:tcPr>
          <w:p>
            <w:r>
              <w:rPr>
                <w:rFonts w:ascii="Calibri" w:hAnsi="Calibri"/>
                <w:sz w:val="22"/>
              </w:rPr>
              <w:t>Unchanged; typical seasonal step-down from Q1 due to respiratory mix and FX</w:t>
            </w:r>
          </w:p>
        </w:tc>
      </w:tr>
      <w:tr>
        <w:tc>
          <w:tcPr>
            <w:tcW w:type="dxa" w:w="1728"/>
          </w:tcPr>
          <w:p>
            <w:r>
              <w:rPr>
                <w:rFonts w:ascii="Calibri" w:hAnsi="Calibri"/>
                <w:sz w:val="22"/>
              </w:rPr>
              <w:t>FY 2026 Core Revenue Growth</w:t>
            </w:r>
          </w:p>
        </w:tc>
        <w:tc>
          <w:tcPr>
            <w:tcW w:type="dxa" w:w="1728"/>
          </w:tcPr>
          <w:p>
            <w:r>
              <w:rPr>
                <w:rFonts w:ascii="Calibri" w:hAnsi="Calibri"/>
                <w:sz w:val="22"/>
              </w:rPr>
              <w:t>3%–6% range</w:t>
            </w:r>
          </w:p>
        </w:tc>
        <w:tc>
          <w:tcPr>
            <w:tcW w:type="dxa" w:w="1728"/>
          </w:tcPr>
          <w:p>
            <w:r>
              <w:rPr>
                <w:rFonts w:ascii="Calibri" w:hAnsi="Calibri"/>
                <w:sz w:val="22"/>
              </w:rPr>
              <w:t>—</w:t>
            </w:r>
          </w:p>
        </w:tc>
        <w:tc>
          <w:tcPr>
            <w:tcW w:type="dxa" w:w="1728"/>
          </w:tcPr>
          <w:p>
            <w:r>
              <w:rPr>
                <w:rFonts w:ascii="Calibri" w:hAnsi="Calibri"/>
                <w:sz w:val="22"/>
              </w:rPr>
              <w:t>~2.9% (consensus)</w:t>
            </w:r>
          </w:p>
        </w:tc>
        <w:tc>
          <w:tcPr>
            <w:tcW w:type="dxa" w:w="1728"/>
          </w:tcPr>
          <w:p>
            <w:r>
              <w:rPr>
                <w:rFonts w:ascii="Calibri" w:hAnsi="Calibri"/>
                <w:sz w:val="22"/>
              </w:rPr>
              <w:t>Unchanged; management anchors to low end; consensus below low end</w:t>
            </w:r>
          </w:p>
        </w:tc>
      </w:tr>
      <w:tr>
        <w:tc>
          <w:tcPr>
            <w:tcW w:type="dxa" w:w="1728"/>
          </w:tcPr>
          <w:p>
            <w:r>
              <w:rPr>
                <w:rFonts w:ascii="Calibri" w:hAnsi="Calibri"/>
                <w:sz w:val="22"/>
              </w:rPr>
              <w:t>FY 2026 Adj. Diluted EPS</w:t>
            </w:r>
          </w:p>
        </w:tc>
        <w:tc>
          <w:tcPr>
            <w:tcW w:type="dxa" w:w="1728"/>
          </w:tcPr>
          <w:p>
            <w:r>
              <w:rPr>
                <w:rFonts w:ascii="Calibri" w:hAnsi="Calibri"/>
                <w:sz w:val="22"/>
              </w:rPr>
              <w:t>$8.35–$8.55 (raised from $8.35–$8.50)</w:t>
            </w:r>
          </w:p>
        </w:tc>
        <w:tc>
          <w:tcPr>
            <w:tcW w:type="dxa" w:w="1728"/>
          </w:tcPr>
          <w:p>
            <w:r>
              <w:rPr>
                <w:rFonts w:ascii="Calibri" w:hAnsi="Calibri"/>
                <w:sz w:val="22"/>
              </w:rPr>
              <w:t>—</w:t>
            </w:r>
          </w:p>
        </w:tc>
        <w:tc>
          <w:tcPr>
            <w:tcW w:type="dxa" w:w="1728"/>
          </w:tcPr>
          <w:p>
            <w:r>
              <w:rPr>
                <w:rFonts w:ascii="Calibri" w:hAnsi="Calibri"/>
                <w:sz w:val="22"/>
              </w:rPr>
              <w:t>$8.46 (consensus)</w:t>
            </w:r>
          </w:p>
        </w:tc>
        <w:tc>
          <w:tcPr>
            <w:tcW w:type="dxa" w:w="1728"/>
          </w:tcPr>
          <w:p>
            <w:r>
              <w:rPr>
                <w:rFonts w:ascii="Calibri" w:hAnsi="Calibri"/>
                <w:sz w:val="22"/>
              </w:rPr>
              <w:t>↑ Raised top end at Q1 earnings; consensus at midpoint of range</w:t>
            </w:r>
          </w:p>
        </w:tc>
      </w:tr>
      <w:tr>
        <w:tc>
          <w:tcPr>
            <w:tcW w:type="dxa" w:w="1728"/>
          </w:tcPr>
          <w:p>
            <w:r>
              <w:rPr>
                <w:rFonts w:ascii="Calibri" w:hAnsi="Calibri"/>
                <w:sz w:val="22"/>
              </w:rPr>
              <w:t>FY 2026 Free Cash Flow</w:t>
            </w:r>
          </w:p>
        </w:tc>
        <w:tc>
          <w:tcPr>
            <w:tcW w:type="dxa" w:w="1728"/>
          </w:tcPr>
          <w:p>
            <w:r>
              <w:rPr>
                <w:rFonts w:ascii="Calibri" w:hAnsi="Calibri"/>
                <w:sz w:val="22"/>
              </w:rPr>
              <w:t>&gt;$5 billion</w:t>
            </w:r>
          </w:p>
        </w:tc>
        <w:tc>
          <w:tcPr>
            <w:tcW w:type="dxa" w:w="1728"/>
          </w:tcPr>
          <w:p>
            <w:r>
              <w:rPr>
                <w:rFonts w:ascii="Calibri" w:hAnsi="Calibri"/>
                <w:sz w:val="22"/>
              </w:rPr>
              <w:t>—</w:t>
            </w:r>
          </w:p>
        </w:tc>
        <w:tc>
          <w:tcPr>
            <w:tcW w:type="dxa" w:w="1728"/>
          </w:tcPr>
          <w:p>
            <w:r>
              <w:rPr>
                <w:rFonts w:ascii="Calibri" w:hAnsi="Calibri"/>
                <w:sz w:val="22"/>
              </w:rPr>
              <w:t>$5.67B (consensus)</w:t>
            </w:r>
          </w:p>
        </w:tc>
        <w:tc>
          <w:tcPr>
            <w:tcW w:type="dxa" w:w="1728"/>
          </w:tcPr>
          <w:p>
            <w:r>
              <w:rPr>
                <w:rFonts w:ascii="Calibri" w:hAnsi="Calibri"/>
                <w:sz w:val="22"/>
              </w:rPr>
              <w:t>Unchanged; consensus above floor guidance</w:t>
            </w:r>
          </w:p>
        </w:tc>
      </w:tr>
      <w:tr>
        <w:tc>
          <w:tcPr>
            <w:tcW w:type="dxa" w:w="1728"/>
          </w:tcPr>
          <w:p>
            <w:r>
              <w:rPr>
                <w:rFonts w:ascii="Calibri" w:hAnsi="Calibri"/>
                <w:sz w:val="22"/>
              </w:rPr>
              <w:t>FY 2026 Respiratory Revenue</w:t>
            </w:r>
          </w:p>
        </w:tc>
        <w:tc>
          <w:tcPr>
            <w:tcW w:type="dxa" w:w="1728"/>
          </w:tcPr>
          <w:p>
            <w:r>
              <w:rPr>
                <w:rFonts w:ascii="Calibri" w:hAnsi="Calibri"/>
                <w:sz w:val="22"/>
              </w:rPr>
              <w:t>$1.6B–$1.7B (lowered from ~$1.8B)</w:t>
            </w:r>
          </w:p>
        </w:tc>
        <w:tc>
          <w:tcPr>
            <w:tcW w:type="dxa" w:w="1728"/>
          </w:tcPr>
          <w:p>
            <w:r>
              <w:rPr>
                <w:rFonts w:ascii="Calibri" w:hAnsi="Calibri"/>
                <w:sz w:val="22"/>
              </w:rPr>
              <w:t>—</w:t>
            </w:r>
          </w:p>
        </w:tc>
        <w:tc>
          <w:tcPr>
            <w:tcW w:type="dxa" w:w="1728"/>
          </w:tcPr>
          <w:p>
            <w:r>
              <w:rPr>
                <w:rFonts w:ascii="Calibri" w:hAnsi="Calibri"/>
                <w:sz w:val="22"/>
              </w:rPr>
              <w:t>N/A — not separately tracked in VA</w:t>
            </w:r>
          </w:p>
        </w:tc>
        <w:tc>
          <w:tcPr>
            <w:tcW w:type="dxa" w:w="1728"/>
          </w:tcPr>
          <w:p>
            <w:r>
              <w:rPr>
                <w:rFonts w:ascii="Calibri" w:hAnsi="Calibri"/>
                <w:sz w:val="22"/>
              </w:rPr>
              <w:t>↓ Lowered at Q1 earnings; lighter-than-typical respiratory season; offset by better core growth elsewhere</w:t>
            </w:r>
          </w:p>
        </w:tc>
      </w:tr>
      <w:tr>
        <w:tc>
          <w:tcPr>
            <w:tcW w:type="dxa" w:w="1728"/>
          </w:tcPr>
          <w:p>
            <w:r>
              <w:rPr>
                <w:rFonts w:ascii="Calibri" w:hAnsi="Calibri"/>
                <w:sz w:val="22"/>
              </w:rPr>
              <w:t>Masimo Contribution (Q2 2026)</w:t>
            </w:r>
          </w:p>
        </w:tc>
        <w:tc>
          <w:tcPr>
            <w:tcW w:type="dxa" w:w="1728"/>
          </w:tcPr>
          <w:p>
            <w:r>
              <w:rPr>
                <w:rFonts w:ascii="Calibri" w:hAnsi="Calibri"/>
                <w:sz w:val="22"/>
              </w:rPr>
              <w:t>Not material (acquisition closed June 10)</w:t>
            </w:r>
          </w:p>
        </w:tc>
        <w:tc>
          <w:tcPr>
            <w:tcW w:type="dxa" w:w="1728"/>
          </w:tcPr>
          <w:p>
            <w:r>
              <w:rPr>
                <w:rFonts w:ascii="Calibri" w:hAnsi="Calibri"/>
                <w:sz w:val="22"/>
              </w:rPr>
              <w:t>Confirmed June 10, 2026 press release</w:t>
            </w:r>
          </w:p>
        </w:tc>
        <w:tc>
          <w:tcPr>
            <w:tcW w:type="dxa" w:w="1728"/>
          </w:tcPr>
          <w:p>
            <w:r>
              <w:rPr>
                <w:rFonts w:ascii="Calibri" w:hAnsi="Calibri"/>
                <w:sz w:val="22"/>
              </w:rPr>
              <w:t>N/A — not yet in consensus</w:t>
            </w:r>
          </w:p>
        </w:tc>
        <w:tc>
          <w:tcPr>
            <w:tcW w:type="dxa" w:w="1728"/>
          </w:tcPr>
          <w:p>
            <w:r>
              <w:rPr>
                <w:rFonts w:ascii="Calibri" w:hAnsi="Calibri"/>
                <w:sz w:val="22"/>
              </w:rPr>
              <w:t>Full-year Masimo guidance to be provided at Q2 earnings; any upside vs. "not material" is a wildcard</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been essentially flat since the Q1 2026 print — Q2 revenue consensus moved only ~+$10M and EPS was unchanged — suggesting the Street is neither chasing upside nor cutting; </w:t>
      </w:r>
      <w:r>
        <w:rPr>
          <w:rFonts w:ascii="Calibri" w:hAnsi="Calibri"/>
          <w:b/>
          <w:color w:val="525866"/>
          <w:sz w:val="22"/>
        </w:rPr>
        <w:t>the gap between consensus and the low end of guidance on revenue represents cushion, not risk</w:t>
      </w:r>
      <w:r>
        <w:rPr>
          <w:rFonts w:ascii="Calibri" w:hAnsi="Calibri"/>
          <w:color w:val="525866"/>
          <w:sz w:val="22"/>
        </w:rPr>
        <w:t>, while the FY EPS consensus sits comfortably at the midpoint of the raised range.</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~Apr 28, 2026 (Post-Q1 Baseline)</w:t>
            </w:r>
          </w:p>
        </w:tc>
        <w:tc>
          <w:tcPr>
            <w:tcW w:type="dxa" w:w="1080"/>
            <w:shd w:val="clear" w:color="auto" w:fill="3B4259"/>
          </w:tcPr>
          <w:p>
            <w:r>
              <w:rPr>
                <w:rFonts w:ascii="Calibri" w:hAnsi="Calibri"/>
                <w:b/>
                <w:color w:val="FFFFFF"/>
                <w:sz w:val="22"/>
              </w:rPr>
              <w:t>Current Consensus (Jul 20,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Revenue — Q2 2026</w:t>
            </w:r>
          </w:p>
        </w:tc>
        <w:tc>
          <w:tcPr>
            <w:tcW w:type="dxa" w:w="1080"/>
          </w:tcPr>
          <w:p>
            <w:r>
              <w:rPr>
                <w:rFonts w:ascii="Calibri" w:hAnsi="Calibri"/>
                <w:sz w:val="22"/>
              </w:rPr>
              <w:t>$6.090B</w:t>
            </w:r>
          </w:p>
        </w:tc>
        <w:tc>
          <w:tcPr>
            <w:tcW w:type="dxa" w:w="1080"/>
          </w:tcPr>
          <w:p>
            <w:r>
              <w:rPr>
                <w:rFonts w:ascii="Calibri" w:hAnsi="Calibri"/>
                <w:sz w:val="22"/>
              </w:rPr>
              <w:t>$6.100B</w:t>
            </w:r>
          </w:p>
        </w:tc>
        <w:tc>
          <w:tcPr>
            <w:tcW w:type="dxa" w:w="1080"/>
          </w:tcPr>
          <w:p>
            <w:r>
              <w:rPr>
                <w:rFonts w:ascii="Calibri" w:hAnsi="Calibri"/>
                <w:sz w:val="22"/>
              </w:rPr>
              <w:t>+0.2%</w:t>
            </w:r>
          </w:p>
        </w:tc>
        <w:tc>
          <w:tcPr>
            <w:tcW w:type="dxa" w:w="1080"/>
          </w:tcPr>
          <w:p>
            <w:r>
              <w:rPr>
                <w:rFonts w:ascii="Calibri" w:hAnsi="Calibri"/>
                <w:sz w:val="22"/>
              </w:rPr>
              <w:t>Low single-digit core growth</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Below midpoint of guide</w:t>
            </w:r>
          </w:p>
        </w:tc>
      </w:tr>
      <w:tr>
        <w:tc>
          <w:tcPr>
            <w:tcW w:type="dxa" w:w="1080"/>
          </w:tcPr>
          <w:p>
            <w:r>
              <w:rPr>
                <w:rFonts w:ascii="Calibri" w:hAnsi="Calibri"/>
                <w:sz w:val="22"/>
              </w:rPr>
              <w:t>Adj. EPS — Q2 2026</w:t>
            </w:r>
          </w:p>
        </w:tc>
        <w:tc>
          <w:tcPr>
            <w:tcW w:type="dxa" w:w="1080"/>
          </w:tcPr>
          <w:p>
            <w:r>
              <w:rPr>
                <w:rFonts w:ascii="Calibri" w:hAnsi="Calibri"/>
                <w:sz w:val="22"/>
              </w:rPr>
              <w:t>$1.835</w:t>
            </w:r>
          </w:p>
        </w:tc>
        <w:tc>
          <w:tcPr>
            <w:tcW w:type="dxa" w:w="1080"/>
          </w:tcPr>
          <w:p>
            <w:r>
              <w:rPr>
                <w:rFonts w:ascii="Calibri" w:hAnsi="Calibri"/>
                <w:sz w:val="22"/>
              </w:rPr>
              <w:t>$1.838</w:t>
            </w:r>
          </w:p>
        </w:tc>
        <w:tc>
          <w:tcPr>
            <w:tcW w:type="dxa" w:w="1080"/>
          </w:tcPr>
          <w:p>
            <w:r>
              <w:rPr>
                <w:rFonts w:ascii="Calibri" w:hAnsi="Calibri"/>
                <w:sz w:val="22"/>
              </w:rPr>
              <w:t>+0.2%</w:t>
            </w:r>
          </w:p>
        </w:tc>
        <w:tc>
          <w:tcPr>
            <w:tcW w:type="dxa" w:w="1080"/>
          </w:tcPr>
          <w:p>
            <w:r>
              <w:rPr>
                <w:rFonts w:ascii="Calibri" w:hAnsi="Calibri"/>
                <w:sz w:val="22"/>
              </w:rPr>
              <w:t>~$1.84 (implied)</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w:t>
            </w:r>
          </w:p>
        </w:tc>
      </w:tr>
      <w:tr>
        <w:tc>
          <w:tcPr>
            <w:tcW w:type="dxa" w:w="1080"/>
          </w:tcPr>
          <w:p>
            <w:r>
              <w:rPr>
                <w:rFonts w:ascii="Calibri" w:hAnsi="Calibri"/>
                <w:sz w:val="22"/>
              </w:rPr>
              <w:t>Revenue — FY 2026</w:t>
            </w:r>
          </w:p>
        </w:tc>
        <w:tc>
          <w:tcPr>
            <w:tcW w:type="dxa" w:w="1080"/>
          </w:tcPr>
          <w:p>
            <w:r>
              <w:rPr>
                <w:rFonts w:ascii="Calibri" w:hAnsi="Calibri"/>
                <w:sz w:val="22"/>
              </w:rPr>
              <w:t>$25.47B</w:t>
            </w:r>
          </w:p>
        </w:tc>
        <w:tc>
          <w:tcPr>
            <w:tcW w:type="dxa" w:w="1080"/>
          </w:tcPr>
          <w:p>
            <w:r>
              <w:rPr>
                <w:rFonts w:ascii="Calibri" w:hAnsi="Calibri"/>
                <w:sz w:val="22"/>
              </w:rPr>
              <w:t>$25.63B</w:t>
            </w:r>
          </w:p>
        </w:tc>
        <w:tc>
          <w:tcPr>
            <w:tcW w:type="dxa" w:w="1080"/>
          </w:tcPr>
          <w:p>
            <w:r>
              <w:rPr>
                <w:rFonts w:ascii="Calibri" w:hAnsi="Calibri"/>
                <w:sz w:val="22"/>
              </w:rPr>
              <w:t>+0.6%</w:t>
            </w:r>
          </w:p>
        </w:tc>
        <w:tc>
          <w:tcPr>
            <w:tcW w:type="dxa" w:w="1080"/>
          </w:tcPr>
          <w:p>
            <w:r>
              <w:rPr>
                <w:rFonts w:ascii="Calibri" w:hAnsi="Calibri"/>
                <w:sz w:val="22"/>
              </w:rPr>
              <w:t>3%–6% core growth</w:t>
            </w:r>
          </w:p>
        </w:tc>
        <w:tc>
          <w:tcPr>
            <w:tcW w:type="dxa" w:w="1080"/>
          </w:tcPr>
          <w:p>
            <w:r>
              <w:rPr>
                <w:rFonts w:ascii="Calibri" w:hAnsi="Calibri"/>
                <w:sz w:val="22"/>
              </w:rPr>
              <w:t>Unchanged (Masimo to be added at Q2)</w:t>
            </w:r>
          </w:p>
        </w:tc>
        <w:tc>
          <w:tcPr>
            <w:tcW w:type="dxa" w:w="1080"/>
          </w:tcPr>
          <w:p>
            <w:r>
              <w:rPr>
                <w:rFonts w:ascii="Calibri" w:hAnsi="Calibri"/>
                <w:sz w:val="22"/>
              </w:rPr>
              <w:t>—</w:t>
            </w:r>
          </w:p>
        </w:tc>
        <w:tc>
          <w:tcPr>
            <w:tcW w:type="dxa" w:w="1080"/>
          </w:tcPr>
          <w:p>
            <w:r>
              <w:rPr>
                <w:rFonts w:ascii="Calibri" w:hAnsi="Calibri"/>
                <w:sz w:val="22"/>
              </w:rPr>
              <w:t>Below low end of guide (ex-Masimo)</w:t>
            </w:r>
          </w:p>
        </w:tc>
      </w:tr>
      <w:tr>
        <w:tc>
          <w:tcPr>
            <w:tcW w:type="dxa" w:w="1080"/>
          </w:tcPr>
          <w:p>
            <w:r>
              <w:rPr>
                <w:rFonts w:ascii="Calibri" w:hAnsi="Calibri"/>
                <w:sz w:val="22"/>
              </w:rPr>
              <w:t>Adj. EPS — FY 2026</w:t>
            </w:r>
          </w:p>
        </w:tc>
        <w:tc>
          <w:tcPr>
            <w:tcW w:type="dxa" w:w="1080"/>
          </w:tcPr>
          <w:p>
            <w:r>
              <w:rPr>
                <w:rFonts w:ascii="Calibri" w:hAnsi="Calibri"/>
                <w:sz w:val="22"/>
              </w:rPr>
              <w:t>$8.438</w:t>
            </w:r>
          </w:p>
        </w:tc>
        <w:tc>
          <w:tcPr>
            <w:tcW w:type="dxa" w:w="1080"/>
          </w:tcPr>
          <w:p>
            <w:r>
              <w:rPr>
                <w:rFonts w:ascii="Calibri" w:hAnsi="Calibri"/>
                <w:sz w:val="22"/>
              </w:rPr>
              <w:t>$8.458</w:t>
            </w:r>
          </w:p>
        </w:tc>
        <w:tc>
          <w:tcPr>
            <w:tcW w:type="dxa" w:w="1080"/>
          </w:tcPr>
          <w:p>
            <w:r>
              <w:rPr>
                <w:rFonts w:ascii="Calibri" w:hAnsi="Calibri"/>
                <w:sz w:val="22"/>
              </w:rPr>
              <w:t>+0.2%</w:t>
            </w:r>
          </w:p>
        </w:tc>
        <w:tc>
          <w:tcPr>
            <w:tcW w:type="dxa" w:w="1080"/>
          </w:tcPr>
          <w:p>
            <w:r>
              <w:rPr>
                <w:rFonts w:ascii="Calibri" w:hAnsi="Calibri"/>
                <w:sz w:val="22"/>
              </w:rPr>
              <w:t>$8.35–$8.55</w:t>
            </w:r>
          </w:p>
        </w:tc>
        <w:tc>
          <w:tcPr>
            <w:tcW w:type="dxa" w:w="1080"/>
          </w:tcPr>
          <w:p>
            <w:r>
              <w:rPr>
                <w:rFonts w:ascii="Calibri" w:hAnsi="Calibri"/>
                <w:sz w:val="22"/>
              </w:rPr>
              <w:t>$8.35–$8.55 (raised top end at Q1)</w:t>
            </w:r>
          </w:p>
        </w:tc>
        <w:tc>
          <w:tcPr>
            <w:tcW w:type="dxa" w:w="1080"/>
          </w:tcPr>
          <w:p>
            <w:r>
              <w:rPr>
                <w:rFonts w:ascii="Calibri" w:hAnsi="Calibri"/>
                <w:sz w:val="22"/>
              </w:rPr>
              <w:t>↑ Top end +$0.05</w:t>
            </w:r>
          </w:p>
        </w:tc>
        <w:tc>
          <w:tcPr>
            <w:tcW w:type="dxa" w:w="1080"/>
          </w:tcPr>
          <w:p>
            <w:r>
              <w:rPr>
                <w:rFonts w:ascii="Calibri" w:hAnsi="Calibri"/>
                <w:sz w:val="22"/>
              </w:rPr>
              <w:t>At midpoint of range</w:t>
            </w:r>
          </w:p>
        </w:tc>
      </w:tr>
      <w:tr>
        <w:tc>
          <w:tcPr>
            <w:tcW w:type="dxa" w:w="1080"/>
          </w:tcPr>
          <w:p>
            <w:r>
              <w:rPr>
                <w:rFonts w:ascii="Calibri" w:hAnsi="Calibri"/>
                <w:sz w:val="22"/>
              </w:rPr>
              <w:t>Biotech Revenue — Q2 2026</w:t>
            </w:r>
          </w:p>
        </w:tc>
        <w:tc>
          <w:tcPr>
            <w:tcW w:type="dxa" w:w="1080"/>
          </w:tcPr>
          <w:p>
            <w:r>
              <w:rPr>
                <w:rFonts w:ascii="Calibri" w:hAnsi="Calibri"/>
                <w:sz w:val="22"/>
              </w:rPr>
              <w:t>$1.967B</w:t>
            </w:r>
          </w:p>
        </w:tc>
        <w:tc>
          <w:tcPr>
            <w:tcW w:type="dxa" w:w="1080"/>
          </w:tcPr>
          <w:p>
            <w:r>
              <w:rPr>
                <w:rFonts w:ascii="Calibri" w:hAnsi="Calibri"/>
                <w:sz w:val="22"/>
              </w:rPr>
              <w:t>$1.962B</w:t>
            </w:r>
          </w:p>
        </w:tc>
        <w:tc>
          <w:tcPr>
            <w:tcW w:type="dxa" w:w="1080"/>
          </w:tcPr>
          <w:p>
            <w:r>
              <w:rPr>
                <w:rFonts w:ascii="Calibri" w:hAnsi="Calibri"/>
                <w:sz w:val="22"/>
              </w:rPr>
              <w:t>−0.3%</w:t>
            </w:r>
          </w:p>
        </w:tc>
        <w:tc>
          <w:tcPr>
            <w:tcW w:type="dxa" w:w="1080"/>
          </w:tcPr>
          <w:p>
            <w:r>
              <w:rPr>
                <w:rFonts w:ascii="Calibri" w:hAnsi="Calibri"/>
                <w:sz w:val="22"/>
              </w:rPr>
              <w:t>Consumables high-single-digit; equipment flat</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w:t>
            </w:r>
          </w:p>
        </w:tc>
      </w:tr>
      <w:tr>
        <w:tc>
          <w:tcPr>
            <w:tcW w:type="dxa" w:w="1080"/>
          </w:tcPr>
          <w:p>
            <w:r>
              <w:rPr>
                <w:rFonts w:ascii="Calibri" w:hAnsi="Calibri"/>
                <w:sz w:val="22"/>
              </w:rPr>
              <w:t>Diagnostics Revenue — Q2 2026</w:t>
            </w:r>
          </w:p>
        </w:tc>
        <w:tc>
          <w:tcPr>
            <w:tcW w:type="dxa" w:w="1080"/>
          </w:tcPr>
          <w:p>
            <w:r>
              <w:rPr>
                <w:rFonts w:ascii="Calibri" w:hAnsi="Calibri"/>
                <w:sz w:val="22"/>
              </w:rPr>
              <w:t>$2.325B</w:t>
            </w:r>
          </w:p>
        </w:tc>
        <w:tc>
          <w:tcPr>
            <w:tcW w:type="dxa" w:w="1080"/>
          </w:tcPr>
          <w:p>
            <w:r>
              <w:rPr>
                <w:rFonts w:ascii="Calibri" w:hAnsi="Calibri"/>
                <w:sz w:val="22"/>
              </w:rPr>
              <w:t>$2.337B</w:t>
            </w:r>
          </w:p>
        </w:tc>
        <w:tc>
          <w:tcPr>
            <w:tcW w:type="dxa" w:w="1080"/>
          </w:tcPr>
          <w:p>
            <w:r>
              <w:rPr>
                <w:rFonts w:ascii="Calibri" w:hAnsi="Calibri"/>
                <w:sz w:val="22"/>
              </w:rPr>
              <w:t>+0.5%</w:t>
            </w:r>
          </w:p>
        </w:tc>
        <w:tc>
          <w:tcPr>
            <w:tcW w:type="dxa" w:w="1080"/>
          </w:tcPr>
          <w:p>
            <w:r>
              <w:rPr>
                <w:rFonts w:ascii="Calibri" w:hAnsi="Calibri"/>
                <w:sz w:val="22"/>
              </w:rPr>
              <w:t>Mid-single-digit ex-China; VBP headwind</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w:t>
            </w:r>
          </w:p>
        </w:tc>
      </w:tr>
    </w:tbl>
    <w:p>
      <w:r>
        <w:rPr>
          <w:rFonts w:ascii="Calibri" w:hAnsi="Calibri"/>
          <w:i/>
          <w:color w:val="525866"/>
          <w:sz w:val="22"/>
        </w:rPr>
        <w:t>Estimates have barely moved since the Q1 2026 print, with Q2 revenue and EPS revisions of less than +0.3% — the Street is in a holding pattern, waiting for Q2 results and the first Masimo-inclusive full-year guide update. The FY 2026 revenue consensus of ~$25.6B sits below the low end of the 3–6% core growth guide (which would imply ~$25.8–26.8B), reflecting the market's conservative stance on end-market recovery and Masimo uncertainty.</w:t>
      </w:r>
    </w:p>
    <w:p>
      <w:r>
        <w:rPr>
          <w:rFonts w:ascii="Calibri" w:hAnsi="Calibri"/>
          <w:i/>
          <w:color w:val="525866"/>
          <w:sz w:val="22"/>
        </w:rPr>
        <w:t>Source: Visible Alpha Consensus and Actuals Data. Post-Q1 baseline uses consensus as of April 28, 2026 (5 trading days post-earnings).</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DHR has returned +3.4% since Q1 earnings (indexed to 100), lagging XBI (+10.7%) and roughly in line with the S&amp;P 500 (+5.4%); the underperformance vs. biotech peers reflects </w:t>
      </w:r>
      <w:r>
        <w:rPr>
          <w:rFonts w:ascii="Calibri" w:hAnsi="Calibri"/>
          <w:b/>
          <w:color w:val="525866"/>
          <w:sz w:val="22"/>
        </w:rPr>
        <w:t>Masimo acquisition overhang and balance sheet concerns</w:t>
      </w:r>
      <w:r>
        <w:rPr>
          <w:rFonts w:ascii="Calibri" w:hAnsi="Calibri"/>
          <w:color w:val="525866"/>
          <w:sz w:val="22"/>
        </w:rPr>
        <w:t xml:space="preserve"> rather than fundamental deterioration — the stock's recovery from ~$162 lows in mid-May to ~$201 today suggests the market has largely digested the deal, setting up a cleaner read on Q2 fundamentals.</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DHR vs. XBI (Biotech ETF) vs. S&amp;P 500 (SPY) — Indexed to 100 at Q1 2026 Earnings (Apr 21, 2026). Source: Yahoo Finance / Stock Price Data.</w:t>
      </w:r>
    </w:p>
    <w:p>
      <w:r>
        <w:rPr>
          <w:rFonts w:ascii="Calibri" w:hAnsi="Calibri"/>
          <w:b/>
          <w:color w:val="525866"/>
          <w:sz w:val="22"/>
        </w:rPr>
        <w:t xml:space="preserve">Sector ETF: </w:t>
      </w:r>
      <w:r>
        <w:rPr>
          <w:rFonts w:ascii="Calibri" w:hAnsi="Calibri"/>
          <w:color w:val="525866"/>
          <w:sz w:val="22"/>
        </w:rPr>
        <w:t>XBI (SPDR S&amp;P Biotech ETF) used as the sector benchmark, reflecting DHR's primary exposure to life sciences tools and bioprocessing. Key events marked: EUR €3B senior notes issuance (April 29, 2026, Masimo acquisition financing) and Masimo acquisition close (June 10, 2026). DHR sold off sharply in the first three weeks post-earnings (−17% peak-to-trough to ~$162 by mid-May), driven by Masimo deal financing concerns and broader biotech weakness, before recovering as the deal closed cleanly and the balance sheet outlook clarified. The stock has since re-rated back toward pre-earnings levels, with the multiple not yet pricing in a beat.</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Q1 earnings is the </w:t>
      </w:r>
      <w:r>
        <w:rPr>
          <w:rFonts w:ascii="Calibri" w:hAnsi="Calibri"/>
          <w:b/>
          <w:color w:val="525866"/>
          <w:sz w:val="22"/>
        </w:rPr>
        <w:t>completion of the Masimo acquisition on June 10, 2026</w:t>
      </w:r>
      <w:r>
        <w:rPr>
          <w:rFonts w:ascii="Calibri" w:hAnsi="Calibri"/>
          <w:color w:val="525866"/>
          <w:sz w:val="22"/>
        </w:rPr>
        <w:t xml:space="preserve"> — the deal closed on schedule, no material Q2 contribution is expected, and the first Masimo-inclusive full-year guide will be the key new data point at tomorrow's print.</w:t>
      </w:r>
    </w:p>
    <w:p>
      <w:pPr>
        <w:pStyle w:val="ListBullet"/>
        <w:ind w:left="360" w:hanging="360"/>
      </w:pPr>
      <w:r>
        <w:rPr>
          <w:rFonts w:ascii="Calibri" w:hAnsi="Calibri"/>
          <w:b/>
          <w:color w:val="525866"/>
          <w:sz w:val="22"/>
        </w:rPr>
        <w:t>June 10, 2026 — Masimo Acquisition Completed (All-Cash, ~$9.9B / $180/share).</w:t>
      </w:r>
      <w:r>
        <w:rPr>
          <w:rFonts w:ascii="Calibri" w:hAnsi="Calibri"/>
          <w:color w:val="525866"/>
          <w:sz w:val="22"/>
        </w:rPr>
        <w:t xml:space="preserve"> Danaher closed the acquisition of Masimo Corporation, adding a leading acute care pulse oximetry and patient monitoring platform to the Diagnostics segment. Management confirmed no material Q2 revenue contribution and stated full-year 2026 guidance will be updated at Q2 earnings to incorporate Masimo. </w:t>
      </w:r>
      <w:r>
        <w:rPr>
          <w:rFonts w:ascii="Calibri" w:hAnsi="Calibri"/>
          <w:i/>
          <w:color w:val="525866"/>
          <w:sz w:val="22"/>
        </w:rPr>
        <w:t>Implication:</w:t>
      </w:r>
      <w:r>
        <w:rPr>
          <w:rFonts w:ascii="Calibri" w:hAnsi="Calibri"/>
          <w:color w:val="525866"/>
          <w:sz w:val="22"/>
        </w:rPr>
        <w:t xml:space="preserve"> The first Masimo-inclusive FY guide is the key new data point tomorrow; any upside vs. "not material" in Q2 or a more favorable FY contribution than feared could be a positive catalyst.</w:t>
      </w:r>
    </w:p>
    <w:p>
      <w:pPr>
        <w:pStyle w:val="ListBullet"/>
        <w:ind w:left="360" w:hanging="360"/>
      </w:pPr>
      <w:r>
        <w:rPr>
          <w:rFonts w:ascii="Calibri" w:hAnsi="Calibri"/>
          <w:b/>
          <w:color w:val="525866"/>
          <w:sz w:val="22"/>
        </w:rPr>
        <w:t>April 29, 2026 — Danaher Issues €3 Billion in Senior Notes (Masimo Financing).</w:t>
      </w:r>
      <w:r>
        <w:rPr>
          <w:rFonts w:ascii="Calibri" w:hAnsi="Calibri"/>
          <w:color w:val="525866"/>
          <w:sz w:val="22"/>
        </w:rPr>
        <w:t xml:space="preserve"> DHR priced €3B in euro-denominated senior notes to partially fund the Masimo acquisition. </w:t>
      </w:r>
      <w:r>
        <w:rPr>
          <w:rFonts w:ascii="Calibri" w:hAnsi="Calibri"/>
          <w:i/>
          <w:color w:val="525866"/>
          <w:sz w:val="22"/>
        </w:rPr>
        <w:t>Implication:</w:t>
      </w:r>
      <w:r>
        <w:rPr>
          <w:rFonts w:ascii="Calibri" w:hAnsi="Calibri"/>
          <w:color w:val="525866"/>
          <w:sz w:val="22"/>
        </w:rPr>
        <w:t xml:space="preserve"> Adds ~$3.3B in debt; post-close leverage expected at ~2.5x net debt/EBITDA, manageable given &gt;$5B annual FCF. The euro denomination provides a natural FX hedge against European revenue.</w:t>
      </w:r>
    </w:p>
    <w:p>
      <w:pPr>
        <w:pStyle w:val="ListBullet"/>
        <w:ind w:left="360" w:hanging="360"/>
      </w:pPr>
      <w:r>
        <w:rPr>
          <w:rFonts w:ascii="Calibri" w:hAnsi="Calibri"/>
          <w:b/>
          <w:color w:val="525866"/>
          <w:sz w:val="22"/>
        </w:rPr>
        <w:t>May 7, 2026 — Shareholders Approve Omnibus Incentive Plan (+20M Shares).</w:t>
      </w:r>
      <w:r>
        <w:rPr>
          <w:rFonts w:ascii="Calibri" w:hAnsi="Calibri"/>
          <w:color w:val="525866"/>
          <w:sz w:val="22"/>
        </w:rPr>
        <w:t xml:space="preserve"> DHR shareholders approved an additional 20 million shares for the equity incentive plan. </w:t>
      </w:r>
      <w:r>
        <w:rPr>
          <w:rFonts w:ascii="Calibri" w:hAnsi="Calibri"/>
          <w:i/>
          <w:color w:val="525866"/>
          <w:sz w:val="22"/>
        </w:rPr>
        <w:t>Implication:</w:t>
      </w:r>
      <w:r>
        <w:rPr>
          <w:rFonts w:ascii="Calibri" w:hAnsi="Calibri"/>
          <w:color w:val="525866"/>
          <w:sz w:val="22"/>
        </w:rPr>
        <w:t xml:space="preserve"> Modest dilution signal; consistent with post-acquisition integration and retention needs for Masimo talent.</w:t>
      </w:r>
    </w:p>
    <w:p>
      <w:pPr>
        <w:pStyle w:val="ListBullet"/>
        <w:ind w:left="360" w:hanging="360"/>
      </w:pPr>
      <w:r>
        <w:rPr>
          <w:rFonts w:ascii="Calibri" w:hAnsi="Calibri"/>
          <w:b/>
          <w:color w:val="525866"/>
          <w:sz w:val="22"/>
        </w:rPr>
        <w:t>May 1, 2026 — Masimo Shareholders Approve Merger.</w:t>
      </w:r>
      <w:r>
        <w:rPr>
          <w:rFonts w:ascii="Calibri" w:hAnsi="Calibri"/>
          <w:color w:val="525866"/>
          <w:sz w:val="22"/>
        </w:rPr>
        <w:t xml:space="preserve"> Masimo stockholders voted in favor of the merger at $180/share. Cleared a key milestone toward the June 10 close.</w:t>
      </w:r>
    </w:p>
    <w:p>
      <w:pPr>
        <w:pStyle w:val="ListBullet"/>
        <w:ind w:left="360" w:hanging="360"/>
      </w:pPr>
      <w:r>
        <w:rPr>
          <w:rFonts w:ascii="Calibri" w:hAnsi="Calibri"/>
          <w:b/>
          <w:color w:val="525866"/>
          <w:sz w:val="22"/>
        </w:rPr>
        <w:t>April 21, 2026 — Q1 2026 Earnings: EPS Beat, Revenue Slight Miss.</w:t>
      </w:r>
      <w:r>
        <w:rPr>
          <w:rFonts w:ascii="Calibri" w:hAnsi="Calibri"/>
          <w:color w:val="525866"/>
          <w:sz w:val="22"/>
        </w:rPr>
        <w:t xml:space="preserve"> Adj. EPS of $2.06 beat consensus of $1.94 by +6.2%; revenue of $5.951B missed by ~$46M. Bioprocessing equipment orders +30% YoY (first positive YoY growth in ~2 years). Full-year EPS guide raised to $8.35–$8.55. </w:t>
      </w:r>
      <w:r>
        <w:rPr>
          <w:rFonts w:ascii="Calibri" w:hAnsi="Calibri"/>
          <w:i/>
          <w:color w:val="525866"/>
          <w:sz w:val="22"/>
        </w:rPr>
        <w:t>Implication:</w:t>
      </w:r>
      <w:r>
        <w:rPr>
          <w:rFonts w:ascii="Calibri" w:hAnsi="Calibri"/>
          <w:color w:val="525866"/>
          <w:sz w:val="22"/>
        </w:rPr>
        <w:t xml:space="preserve"> Sets a high bar for EPS execution but a low bar for revenue, consistent with the current setup.</w:t>
      </w:r>
    </w:p>
    <w:p>
      <w:pPr>
        <w:pStyle w:val="ListBullet"/>
        <w:ind w:left="360" w:hanging="360"/>
      </w:pPr>
      <w:r>
        <w:rPr>
          <w:rFonts w:ascii="Calibri" w:hAnsi="Calibri"/>
          <w:b/>
          <w:color w:val="525866"/>
          <w:sz w:val="22"/>
        </w:rPr>
        <w:t>Ongoing — Bioprocessing Equipment Order Inflection.</w:t>
      </w:r>
      <w:r>
        <w:rPr>
          <w:rFonts w:ascii="Calibri" w:hAnsi="Calibri"/>
          <w:color w:val="525866"/>
          <w:sz w:val="22"/>
        </w:rPr>
        <w:t xml:space="preserve"> Q1 2026 marked the first year-over-year positive equipment orders growth in nearly two years (+30% YoY). Management characterized reshoring as "early days of a years-long CapEx cycle" beginning with brownfield investments. </w:t>
      </w:r>
      <w:r>
        <w:rPr>
          <w:rFonts w:ascii="Calibri" w:hAnsi="Calibri"/>
          <w:i/>
          <w:color w:val="525866"/>
          <w:sz w:val="22"/>
        </w:rPr>
        <w:t>Implication:</w:t>
      </w:r>
      <w:r>
        <w:rPr>
          <w:rFonts w:ascii="Calibri" w:hAnsi="Calibri"/>
          <w:color w:val="525866"/>
          <w:sz w:val="22"/>
        </w:rPr>
        <w:t xml:space="preserve"> Equipment orders are a leading indicator; if Q2 orders sustain or accelerate, it would validate the multi-year recovery thesis and could drive multiple expansion.</w:t>
      </w:r>
    </w:p>
    <w:p>
      <w:pPr>
        <w:pStyle w:val="ListBullet"/>
        <w:ind w:left="360" w:hanging="360"/>
      </w:pPr>
      <w:r>
        <w:rPr>
          <w:rFonts w:ascii="Calibri" w:hAnsi="Calibri"/>
          <w:b/>
          <w:color w:val="525866"/>
          <w:sz w:val="22"/>
        </w:rPr>
        <w:t>Ongoing — China Diagnostics VBP Headwind (~$75–100M FY 2026).</w:t>
      </w:r>
      <w:r>
        <w:rPr>
          <w:rFonts w:ascii="Calibri" w:hAnsi="Calibri"/>
          <w:color w:val="525866"/>
          <w:sz w:val="22"/>
        </w:rPr>
        <w:t xml:space="preserve"> Volume-Based Procurement pricing pressure in China Diagnostics is playing out as expected, with patient volumes slightly better than modeled. </w:t>
      </w:r>
      <w:r>
        <w:rPr>
          <w:rFonts w:ascii="Calibri" w:hAnsi="Calibri"/>
          <w:i/>
          <w:color w:val="525866"/>
          <w:sz w:val="22"/>
        </w:rPr>
        <w:t>Implication:</w:t>
      </w:r>
      <w:r>
        <w:rPr>
          <w:rFonts w:ascii="Calibri" w:hAnsi="Calibri"/>
          <w:color w:val="525866"/>
          <w:sz w:val="22"/>
        </w:rPr>
        <w:t xml:space="preserve"> Headwind is known and modeled; any upside in patient volumes or faster-than-expected normalization would be a positive surprise.</w:t>
      </w:r>
    </w:p>
    <w:p>
      <w:pPr>
        <w:pStyle w:val="ListBullet"/>
        <w:ind w:left="360" w:hanging="360"/>
      </w:pPr>
      <w:r>
        <w:rPr>
          <w:rFonts w:ascii="Calibri" w:hAnsi="Calibri"/>
          <w:b/>
          <w:color w:val="525866"/>
          <w:sz w:val="22"/>
        </w:rPr>
        <w:t>Ongoing — Academic/Government Funding Weakness.</w:t>
      </w:r>
      <w:r>
        <w:rPr>
          <w:rFonts w:ascii="Calibri" w:hAnsi="Calibri"/>
          <w:color w:val="525866"/>
          <w:sz w:val="22"/>
        </w:rPr>
        <w:t xml:space="preserve"> NIH funding uncertainty and government spending caution continue to weigh on Life Sciences academic end markets, though DHR's exposure is less than 5% of total revenue. </w:t>
      </w:r>
      <w:r>
        <w:rPr>
          <w:rFonts w:ascii="Calibri" w:hAnsi="Calibri"/>
          <w:i/>
          <w:color w:val="525866"/>
          <w:sz w:val="22"/>
        </w:rPr>
        <w:t>Implication:</w:t>
      </w:r>
      <w:r>
        <w:rPr>
          <w:rFonts w:ascii="Calibri" w:hAnsi="Calibri"/>
          <w:color w:val="525866"/>
          <w:sz w:val="22"/>
        </w:rPr>
        <w:t xml:space="preserve"> Limited direct impact on DHR; more relevant as a read-through for peer sentiment.</w:t>
      </w:r>
    </w:p>
    <w:p>
      <w:r>
        <w:br w:type="page"/>
      </w:r>
    </w:p>
    <w:p>
      <w:pPr>
        <w:pStyle w:val="Heading2"/>
      </w:pPr>
      <w:r>
        <w:rPr>
          <w:rFonts w:ascii="Calibri" w:hAnsi="Calibri"/>
          <w:b/>
          <w:color w:val="3B4259"/>
          <w:sz w:val="28"/>
        </w:rPr>
        <w:t>7. Peer Commentaries — Read-Through for DHR Q2 2026</w:t>
      </w:r>
    </w:p>
    <w:p>
      <w:r>
        <w:rPr>
          <w:rFonts w:ascii="Calibri" w:hAnsi="Calibri"/>
          <w:b/>
          <w:color w:val="525866"/>
          <w:sz w:val="22"/>
        </w:rPr>
        <w:t xml:space="preserve">Key Takeaway: </w:t>
      </w:r>
      <w:r>
        <w:rPr>
          <w:rFonts w:ascii="Calibri" w:hAnsi="Calibri"/>
          <w:color w:val="525866"/>
          <w:sz w:val="22"/>
        </w:rPr>
        <w:t xml:space="preserve">Peer commentary from the last 60 days is broadly constructive for DHR's Q2 setup — </w:t>
      </w:r>
      <w:r>
        <w:rPr>
          <w:rFonts w:ascii="Calibri" w:hAnsi="Calibri"/>
          <w:b/>
          <w:color w:val="525866"/>
          <w:sz w:val="22"/>
        </w:rPr>
        <w:t>pharma/bioprocessing demand is holding or improving across all reporters</w:t>
      </w:r>
      <w:r>
        <w:rPr>
          <w:rFonts w:ascii="Calibri" w:hAnsi="Calibri"/>
          <w:color w:val="525866"/>
          <w:sz w:val="22"/>
        </w:rPr>
        <w:t>, China biotech is a consistent bright spot, academic/government remains a known headwind, and AI is universally cited as a long-term demand accelerator; the one cautionary note is that large pharma capital deployment remains "deliberate" (IQV), which could temper equipment order conversion.</w:t>
      </w:r>
    </w:p>
    <w:p>
      <w:r>
        <w:rPr>
          <w:rFonts w:ascii="Calibri" w:hAnsi="Calibri"/>
          <w:i/>
          <w:color w:val="525866"/>
          <w:sz w:val="22"/>
        </w:rPr>
        <w:t>Note: Only commentary from peers' Q1 2026 earnings calls (reported April–May 2026) and TMO's May 2026 Investor Day is included, as these cover the current reporting period (Q2 2026) or provide forward-looking commentary relevant to DHR's Q2 2026 quarter. Prior-quarter results commentary has been excluded.</w:t>
      </w:r>
    </w:p>
    <w:p>
      <w:pPr>
        <w:pStyle w:val="Heading3"/>
      </w:pPr>
      <w:r>
        <w:rPr>
          <w:rFonts w:ascii="Calibri" w:hAnsi="Calibri"/>
          <w:b/>
          <w:color w:val="3B4259"/>
          <w:sz w:val="24"/>
        </w:rPr>
        <w:t>Agilent Technologies (A) — Q2 2026 Earnings Call (May 27, 2026)</w:t>
      </w:r>
    </w:p>
    <w:p>
      <w:r>
        <w:rPr>
          <w:rFonts w:ascii="Calibri" w:hAnsi="Calibri"/>
          <w:i/>
          <w:color w:val="525866"/>
          <w:sz w:val="22"/>
        </w:rPr>
        <w:t>Relevance: Agilent is a direct peer in life sciences tools and pharma end markets. Its Q2 2026 results (Agilent's fiscal Q2 ends April 30) provide the most current read on pharma and biotech demand heading into DHR's Q2.</w:t>
      </w:r>
    </w:p>
    <w:p>
      <w:pPr>
        <w:pStyle w:val="ListBullet"/>
        <w:ind w:left="360" w:hanging="360"/>
      </w:pPr>
      <w:r>
        <w:rPr>
          <w:rFonts w:ascii="Calibri" w:hAnsi="Calibri"/>
          <w:b/>
          <w:color w:val="525866"/>
          <w:sz w:val="22"/>
        </w:rPr>
        <w:t xml:space="preserve">Pharma demand strong, biotech accelerating: </w:t>
      </w:r>
      <w:r>
        <w:rPr>
          <w:rFonts w:ascii="Calibri" w:hAnsi="Calibri"/>
          <w:color w:val="525866"/>
          <w:sz w:val="22"/>
        </w:rPr>
        <w:t xml:space="preserve">Pharma grew 6% in Q2, with biotech delivering "low double-digit growth for the third consecutive quarter, led by large caps, while positive demand signals from small to mid caps begin to emerge." Full-year pharma guide raised to high-single-digit growth. </w:t>
      </w:r>
      <w:r>
        <w:rPr>
          <w:rFonts w:ascii="Calibri" w:hAnsi="Calibri"/>
          <w:i/>
          <w:color w:val="525866"/>
          <w:sz w:val="22"/>
        </w:rPr>
        <w:t>DHR read-through:</w:t>
      </w:r>
      <w:r>
        <w:rPr>
          <w:rFonts w:ascii="Calibri" w:hAnsi="Calibri"/>
          <w:color w:val="525866"/>
          <w:sz w:val="22"/>
        </w:rPr>
        <w:t xml:space="preserve"> Supports DHR's bioprocessing consumables high-single-digit growth thesis and suggests the pharma end market recovery is durable, not a one-quarter event.</w:t>
      </w:r>
    </w:p>
    <w:p>
      <w:pPr>
        <w:pStyle w:val="ListBullet"/>
        <w:ind w:left="360" w:hanging="360"/>
      </w:pPr>
      <w:r>
        <w:rPr>
          <w:rFonts w:ascii="Calibri" w:hAnsi="Calibri"/>
          <w:b/>
          <w:color w:val="525866"/>
          <w:sz w:val="22"/>
        </w:rPr>
        <w:t xml:space="preserve">GLP-1 momentum continuing at ~20% growth YTD: </w:t>
      </w:r>
      <w:r>
        <w:rPr>
          <w:rFonts w:ascii="Calibri" w:hAnsi="Calibri"/>
          <w:color w:val="525866"/>
          <w:sz w:val="22"/>
        </w:rPr>
        <w:t xml:space="preserve">Agilent's GLP-1 exposure (analytical lab and CDMO) is growing strongly, with Train C capacity on track for spring 2027 revenue. </w:t>
      </w:r>
      <w:r>
        <w:rPr>
          <w:rFonts w:ascii="Calibri" w:hAnsi="Calibri"/>
          <w:i/>
          <w:color w:val="525866"/>
          <w:sz w:val="22"/>
        </w:rPr>
        <w:t>DHR read-through:</w:t>
      </w:r>
      <w:r>
        <w:rPr>
          <w:rFonts w:ascii="Calibri" w:hAnsi="Calibri"/>
          <w:color w:val="525866"/>
          <w:sz w:val="22"/>
        </w:rPr>
        <w:t xml:space="preserve"> GLP-1 manufacturing scale-up is a multi-year tailwind for bioprocessing consumables and equipment; consistent with DHR's reshoring/brownfield investment thesis.</w:t>
      </w:r>
    </w:p>
    <w:p>
      <w:pPr>
        <w:pStyle w:val="ListBullet"/>
        <w:ind w:left="360" w:hanging="360"/>
      </w:pPr>
      <w:r>
        <w:rPr>
          <w:rFonts w:ascii="Calibri" w:hAnsi="Calibri"/>
          <w:b/>
          <w:color w:val="525866"/>
          <w:sz w:val="22"/>
        </w:rPr>
        <w:t xml:space="preserve">China declined 9% in Q2 but H1 roughly flat vs. guide: </w:t>
      </w:r>
      <w:r>
        <w:rPr>
          <w:rFonts w:ascii="Calibri" w:hAnsi="Calibri"/>
          <w:color w:val="525866"/>
          <w:sz w:val="22"/>
        </w:rPr>
        <w:t xml:space="preserve">Softness attributed to Lunar New Year timing and pre-tariff stocking comps; China stimulus orders expected "toward end of year" with revenue in H1 2027. Academic/government in China "very soft" on tightened government spend. </w:t>
      </w:r>
      <w:r>
        <w:rPr>
          <w:rFonts w:ascii="Calibri" w:hAnsi="Calibri"/>
          <w:i/>
          <w:color w:val="525866"/>
          <w:sz w:val="22"/>
        </w:rPr>
        <w:t>DHR read-through:</w:t>
      </w:r>
      <w:r>
        <w:rPr>
          <w:rFonts w:ascii="Calibri" w:hAnsi="Calibri"/>
          <w:color w:val="525866"/>
          <w:sz w:val="22"/>
        </w:rPr>
        <w:t xml:space="preserve"> China Diagnostics VBP headwind is DHR-specific, but the broader China softness in academic/government is consistent with DHR's guidance. China bioprocessing (DHR's bright spot) is not directly comparable to Agilent's analytical tools exposure.</w:t>
      </w:r>
    </w:p>
    <w:p>
      <w:pPr>
        <w:pStyle w:val="ListBullet"/>
        <w:ind w:left="360" w:hanging="360"/>
      </w:pPr>
      <w:r>
        <w:rPr>
          <w:rFonts w:ascii="Calibri" w:hAnsi="Calibri"/>
          <w:b/>
          <w:color w:val="525866"/>
          <w:sz w:val="22"/>
        </w:rPr>
        <w:t xml:space="preserve">Full-year guidance raised: </w:t>
      </w:r>
      <w:r>
        <w:rPr>
          <w:rFonts w:ascii="Calibri" w:hAnsi="Calibri"/>
          <w:color w:val="525866"/>
          <w:sz w:val="22"/>
        </w:rPr>
        <w:t xml:space="preserve">Core growth raised to 4.5–6% (midpoint +30bps); EPS raised to $6.00–$6.10 (+$0.08 at midpoint). Book-to-bill above 1 for ninth consecutive quarter. </w:t>
      </w:r>
      <w:r>
        <w:rPr>
          <w:rFonts w:ascii="Calibri" w:hAnsi="Calibri"/>
          <w:i/>
          <w:color w:val="525866"/>
          <w:sz w:val="22"/>
        </w:rPr>
        <w:t>DHR read-through:</w:t>
      </w:r>
      <w:r>
        <w:rPr>
          <w:rFonts w:ascii="Calibri" w:hAnsi="Calibri"/>
          <w:color w:val="525866"/>
          <w:sz w:val="22"/>
        </w:rPr>
        <w:t xml:space="preserve"> Positive signal for the broader life sciences tools demand environment; instrument replacement cycle momentum is intact.</w:t>
      </w:r>
    </w:p>
    <w:p>
      <w:pPr>
        <w:pStyle w:val="ListBullet"/>
        <w:ind w:left="360" w:hanging="360"/>
      </w:pPr>
      <w:r>
        <w:rPr>
          <w:rFonts w:ascii="Calibri" w:hAnsi="Calibri"/>
          <w:b/>
          <w:color w:val="525866"/>
          <w:sz w:val="22"/>
        </w:rPr>
        <w:t xml:space="preserve">AI as wet-lab demand driver: </w:t>
      </w:r>
      <w:r>
        <w:rPr>
          <w:rFonts w:ascii="Calibri" w:hAnsi="Calibri"/>
          <w:color w:val="525866"/>
          <w:sz w:val="22"/>
        </w:rPr>
        <w:t xml:space="preserve">"Pharma customers are leaning into AI to accelerate drug development... there is a growing need for large-scale multimodal data sets to train AI models, which will require significant investments in the wet lab." </w:t>
      </w:r>
      <w:r>
        <w:rPr>
          <w:rFonts w:ascii="Calibri" w:hAnsi="Calibri"/>
          <w:i/>
          <w:color w:val="525866"/>
          <w:sz w:val="22"/>
        </w:rPr>
        <w:t>DHR read-through:</w:t>
      </w:r>
      <w:r>
        <w:rPr>
          <w:rFonts w:ascii="Calibri" w:hAnsi="Calibri"/>
          <w:color w:val="525866"/>
          <w:sz w:val="22"/>
        </w:rPr>
        <w:t xml:space="preserve"> Directly validates DHR management's AI thesis from Q1 call — AI accelerates pharma R&amp;D, driving more demand for bioproduction and life science tools.</w:t>
      </w:r>
    </w:p>
    <w:p>
      <w:pPr>
        <w:pStyle w:val="Heading3"/>
      </w:pPr>
      <w:r>
        <w:rPr>
          <w:rFonts w:ascii="Calibri" w:hAnsi="Calibri"/>
          <w:b/>
          <w:color w:val="3B4259"/>
          <w:sz w:val="24"/>
        </w:rPr>
        <w:t>Thermo Fisher Scientific (TMO) — Investor Day (May 20, 2026)</w:t>
      </w:r>
    </w:p>
    <w:p>
      <w:r>
        <w:rPr>
          <w:rFonts w:ascii="Calibri" w:hAnsi="Calibri"/>
          <w:i/>
          <w:color w:val="525866"/>
          <w:sz w:val="22"/>
        </w:rPr>
        <w:t>Relevance: TMO is DHR's closest peer in bioprocessing and life sciences tools. Its May 2026 Investor Day provided extensive forward-looking commentary on end markets through 2026–2028.</w:t>
      </w:r>
    </w:p>
    <w:p>
      <w:pPr>
        <w:pStyle w:val="ListBullet"/>
        <w:ind w:left="360" w:hanging="360"/>
      </w:pPr>
      <w:r>
        <w:rPr>
          <w:rFonts w:ascii="Calibri" w:hAnsi="Calibri"/>
          <w:b/>
          <w:color w:val="525866"/>
          <w:sz w:val="22"/>
        </w:rPr>
        <w:t xml:space="preserve">Bioprocessing: "outstanding business in a very fast-growing end market": </w:t>
      </w:r>
      <w:r>
        <w:rPr>
          <w:rFonts w:ascii="Calibri" w:hAnsi="Calibri"/>
          <w:color w:val="525866"/>
          <w:sz w:val="22"/>
        </w:rPr>
        <w:t xml:space="preserve">TMO highlighted bioproduction as a core growth driver, with the Solventum Filtration acquisition on track for mid-to-high single-digit organic growth. "Very strong orders in Q1" and backlog building to support sequential growth progression. </w:t>
      </w:r>
      <w:r>
        <w:rPr>
          <w:rFonts w:ascii="Calibri" w:hAnsi="Calibri"/>
          <w:i/>
          <w:color w:val="525866"/>
          <w:sz w:val="22"/>
        </w:rPr>
        <w:t>DHR read-through:</w:t>
      </w:r>
      <w:r>
        <w:rPr>
          <w:rFonts w:ascii="Calibri" w:hAnsi="Calibri"/>
          <w:color w:val="525866"/>
          <w:sz w:val="22"/>
        </w:rPr>
        <w:t xml:space="preserve"> Validates DHR's bioprocessing consumables growth thesis; TMO's order strength is a leading indicator for the broader bioprocessing market.</w:t>
      </w:r>
    </w:p>
    <w:p>
      <w:pPr>
        <w:pStyle w:val="ListBullet"/>
        <w:ind w:left="360" w:hanging="360"/>
      </w:pPr>
      <w:r>
        <w:rPr>
          <w:rFonts w:ascii="Calibri" w:hAnsi="Calibri"/>
          <w:b/>
          <w:color w:val="525866"/>
          <w:sz w:val="22"/>
        </w:rPr>
        <w:t xml:space="preserve">U.S. reshoring: &gt;$0.5 trillion in biopharma manufacturing commitments: </w:t>
      </w:r>
      <w:r>
        <w:rPr>
          <w:rFonts w:ascii="Calibri" w:hAnsi="Calibri"/>
          <w:color w:val="525866"/>
          <w:sz w:val="22"/>
        </w:rPr>
        <w:t xml:space="preserve">TMO cited over $500B in U.S. manufacturing investment commitments by biopharma companies, creating opportunities in bioproduction equipment, clinical development, and lab outfitting. "We expect our long-term outlook to improve as well because our technologies and capabilities are incredibly well positioned to have higher share in newly built production capacity." </w:t>
      </w:r>
      <w:r>
        <w:rPr>
          <w:rFonts w:ascii="Calibri" w:hAnsi="Calibri"/>
          <w:i/>
          <w:color w:val="525866"/>
          <w:sz w:val="22"/>
        </w:rPr>
        <w:t>DHR read-through:</w:t>
      </w:r>
      <w:r>
        <w:rPr>
          <w:rFonts w:ascii="Calibri" w:hAnsi="Calibri"/>
          <w:color w:val="525866"/>
          <w:sz w:val="22"/>
        </w:rPr>
        <w:t xml:space="preserve"> Directly supports DHR's bioprocessing equipment order inflection thesis; reshoring is a multi-year CapEx cycle that benefits both TMO and DHR.</w:t>
      </w:r>
    </w:p>
    <w:p>
      <w:pPr>
        <w:pStyle w:val="ListBullet"/>
        <w:ind w:left="360" w:hanging="360"/>
      </w:pPr>
      <w:r>
        <w:rPr>
          <w:rFonts w:ascii="Calibri" w:hAnsi="Calibri"/>
          <w:b/>
          <w:color w:val="525866"/>
          <w:sz w:val="22"/>
        </w:rPr>
        <w:t xml:space="preserve">China Pharma &amp; Biotech "growing nicely" despite broader China pressure: </w:t>
      </w:r>
      <w:r>
        <w:rPr>
          <w:rFonts w:ascii="Calibri" w:hAnsi="Calibri"/>
          <w:color w:val="525866"/>
          <w:sz w:val="22"/>
        </w:rPr>
        <w:t xml:space="preserve">TMO noted that while industrial and healthcare sectors in China are under pressure, "Pharma &amp; Biotech is growing nicely." China could be "an upside relative to what's assumed in our model." </w:t>
      </w:r>
      <w:r>
        <w:rPr>
          <w:rFonts w:ascii="Calibri" w:hAnsi="Calibri"/>
          <w:i/>
          <w:color w:val="525866"/>
          <w:sz w:val="22"/>
        </w:rPr>
        <w:t>DHR read-through:</w:t>
      </w:r>
      <w:r>
        <w:rPr>
          <w:rFonts w:ascii="Calibri" w:hAnsi="Calibri"/>
          <w:color w:val="525866"/>
          <w:sz w:val="22"/>
        </w:rPr>
        <w:t xml:space="preserve"> Consistent with DHR's Q1 commentary on China bioprocessing double-digit growth; China biotech monetization of therapies is a shared tailwind.</w:t>
      </w:r>
    </w:p>
    <w:p>
      <w:pPr>
        <w:pStyle w:val="ListBullet"/>
        <w:ind w:left="360" w:hanging="360"/>
      </w:pPr>
      <w:r>
        <w:rPr>
          <w:rFonts w:ascii="Calibri" w:hAnsi="Calibri"/>
          <w:b/>
          <w:color w:val="525866"/>
          <w:sz w:val="22"/>
        </w:rPr>
        <w:t xml:space="preserve">AI as industry tailwind — more wet lab validation, more CRO demand: </w:t>
      </w:r>
      <w:r>
        <w:rPr>
          <w:rFonts w:ascii="Calibri" w:hAnsi="Calibri"/>
          <w:color w:val="525866"/>
          <w:sz w:val="22"/>
        </w:rPr>
        <w:t xml:space="preserve">"AI is driving unprecedented demand... the more wet lab validation they will do to ensure they're working on the right targets... you're seeing a significant uptick in experimentation just to populate biological understanding." TMO expects AI to be a "major contributor" to 40–50bps annual margin expansion. </w:t>
      </w:r>
      <w:r>
        <w:rPr>
          <w:rFonts w:ascii="Calibri" w:hAnsi="Calibri"/>
          <w:i/>
          <w:color w:val="525866"/>
          <w:sz w:val="22"/>
        </w:rPr>
        <w:t>DHR read-through:</w:t>
      </w:r>
      <w:r>
        <w:rPr>
          <w:rFonts w:ascii="Calibri" w:hAnsi="Calibri"/>
          <w:color w:val="525866"/>
          <w:sz w:val="22"/>
        </w:rPr>
        <w:t xml:space="preserve"> Reinforces the AI-as-demand-accelerator thesis for bioprocessing and life science tools; TMO's scale and data advantage mirrors DHR's DBS-AI integration narrative.</w:t>
      </w:r>
    </w:p>
    <w:p>
      <w:pPr>
        <w:pStyle w:val="ListBullet"/>
        <w:ind w:left="360" w:hanging="360"/>
      </w:pPr>
      <w:r>
        <w:rPr>
          <w:rFonts w:ascii="Calibri" w:hAnsi="Calibri"/>
          <w:b/>
          <w:color w:val="525866"/>
          <w:sz w:val="22"/>
        </w:rPr>
        <w:t xml:space="preserve">Academic/government: stabilization expected "over time": </w:t>
      </w:r>
      <w:r>
        <w:rPr>
          <w:rFonts w:ascii="Calibri" w:hAnsi="Calibri"/>
          <w:color w:val="525866"/>
          <w:sz w:val="22"/>
        </w:rPr>
        <w:t xml:space="preserve">NIH budget approved with slight increase; improved funding flow at end of Q1 was a positive sign. </w:t>
      </w:r>
      <w:r>
        <w:rPr>
          <w:rFonts w:ascii="Calibri" w:hAnsi="Calibri"/>
          <w:i/>
          <w:color w:val="525866"/>
          <w:sz w:val="22"/>
        </w:rPr>
        <w:t>DHR read-through:</w:t>
      </w:r>
      <w:r>
        <w:rPr>
          <w:rFonts w:ascii="Calibri" w:hAnsi="Calibri"/>
          <w:color w:val="525866"/>
          <w:sz w:val="22"/>
        </w:rPr>
        <w:t xml:space="preserve"> Modest positive for DHR's Life Sciences academic exposure (&lt;5% of revenue); not a near-term catalyst but reduces downside risk.</w:t>
      </w:r>
    </w:p>
    <w:p>
      <w:pPr>
        <w:pStyle w:val="Heading3"/>
      </w:pPr>
      <w:r>
        <w:rPr>
          <w:rFonts w:ascii="Calibri" w:hAnsi="Calibri"/>
          <w:b/>
          <w:color w:val="3B4259"/>
          <w:sz w:val="24"/>
        </w:rPr>
        <w:t>Mettler-Toledo (MTD) — Q1 2026 Earnings Call (May 8, 2026)</w:t>
      </w:r>
    </w:p>
    <w:p>
      <w:r>
        <w:rPr>
          <w:rFonts w:ascii="Calibri" w:hAnsi="Calibri"/>
          <w:i/>
          <w:color w:val="525866"/>
          <w:sz w:val="22"/>
        </w:rPr>
        <w:t>Relevance: MTD is a precision instruments peer with significant pharma/biopharma and China exposure. Its Q1 2026 commentary provides a read on lab instrument demand and China industrial trends.</w:t>
      </w:r>
    </w:p>
    <w:p>
      <w:pPr>
        <w:pStyle w:val="ListBullet"/>
        <w:ind w:left="360" w:hanging="360"/>
      </w:pPr>
      <w:r>
        <w:rPr>
          <w:rFonts w:ascii="Calibri" w:hAnsi="Calibri"/>
          <w:b/>
          <w:color w:val="525866"/>
          <w:sz w:val="22"/>
        </w:rPr>
        <w:t xml:space="preserve">Bioprocessing "continues to be very strong": </w:t>
      </w:r>
      <w:r>
        <w:rPr>
          <w:rFonts w:ascii="Calibri" w:hAnsi="Calibri"/>
          <w:color w:val="525866"/>
          <w:sz w:val="22"/>
        </w:rPr>
        <w:t xml:space="preserve">MTD cited bioprocessing as one of two key areas of "very good momentum," with new product launches (digital sensors, glycose sensors) differentiating vs. competitors. Expects "a little bit better results in Q2 in Europe" for bioprocessing. </w:t>
      </w:r>
      <w:r>
        <w:rPr>
          <w:rFonts w:ascii="Calibri" w:hAnsi="Calibri"/>
          <w:i/>
          <w:color w:val="525866"/>
          <w:sz w:val="22"/>
        </w:rPr>
        <w:t>DHR read-through:</w:t>
      </w:r>
      <w:r>
        <w:rPr>
          <w:rFonts w:ascii="Calibri" w:hAnsi="Calibri"/>
          <w:color w:val="525866"/>
          <w:sz w:val="22"/>
        </w:rPr>
        <w:t xml:space="preserve"> Corroborates DHR's bioprocessing consumables strength; European bioprocessing improvement is a modest positive for DHR's Biotechnology segment.</w:t>
      </w:r>
    </w:p>
    <w:p>
      <w:pPr>
        <w:pStyle w:val="ListBullet"/>
        <w:ind w:left="360" w:hanging="360"/>
      </w:pPr>
      <w:r>
        <w:rPr>
          <w:rFonts w:ascii="Calibri" w:hAnsi="Calibri"/>
          <w:b/>
          <w:color w:val="525866"/>
          <w:sz w:val="22"/>
        </w:rPr>
        <w:t xml:space="preserve">China industrial "bright spot" — mid-single-digit growth expected for FY: </w:t>
      </w:r>
      <w:r>
        <w:rPr>
          <w:rFonts w:ascii="Calibri" w:hAnsi="Calibri"/>
          <w:color w:val="525866"/>
          <w:sz w:val="22"/>
        </w:rPr>
        <w:t xml:space="preserve">China grew 4% in Q1 led by industrial automation; MTD raised China FY growth expectations to mid-single-digit. "Third quarter in a row with good growth on the industrial side in China." </w:t>
      </w:r>
      <w:r>
        <w:rPr>
          <w:rFonts w:ascii="Calibri" w:hAnsi="Calibri"/>
          <w:i/>
          <w:color w:val="525866"/>
          <w:sz w:val="22"/>
        </w:rPr>
        <w:t>DHR read-through:</w:t>
      </w:r>
      <w:r>
        <w:rPr>
          <w:rFonts w:ascii="Calibri" w:hAnsi="Calibri"/>
          <w:color w:val="525866"/>
          <w:sz w:val="22"/>
        </w:rPr>
        <w:t xml:space="preserve"> China industrial momentum is a positive read-through for DHR's China bioprocessing (driven by China biotech monetization), though DHR's China Diagnostics VBP headwind is a separate, company-specific drag.</w:t>
      </w:r>
    </w:p>
    <w:p>
      <w:pPr>
        <w:pStyle w:val="ListBullet"/>
        <w:ind w:left="360" w:hanging="360"/>
      </w:pPr>
      <w:r>
        <w:rPr>
          <w:rFonts w:ascii="Calibri" w:hAnsi="Calibri"/>
          <w:b/>
          <w:color w:val="525866"/>
          <w:sz w:val="22"/>
        </w:rPr>
        <w:t xml:space="preserve">Macro uncertainty causing customer delays, not cancellations: </w:t>
      </w:r>
      <w:r>
        <w:rPr>
          <w:rFonts w:ascii="Calibri" w:hAnsi="Calibri"/>
          <w:color w:val="525866"/>
          <w:sz w:val="22"/>
        </w:rPr>
        <w:t xml:space="preserve">"We're not seeing any cancellations from that. We're just seeing it feels like things are just getting pushed out a little bit." Improving PMIs viewed favorably. </w:t>
      </w:r>
      <w:r>
        <w:rPr>
          <w:rFonts w:ascii="Calibri" w:hAnsi="Calibri"/>
          <w:i/>
          <w:color w:val="525866"/>
          <w:sz w:val="22"/>
        </w:rPr>
        <w:t>DHR read-through:</w:t>
      </w:r>
      <w:r>
        <w:rPr>
          <w:rFonts w:ascii="Calibri" w:hAnsi="Calibri"/>
          <w:color w:val="525866"/>
          <w:sz w:val="22"/>
        </w:rPr>
        <w:t xml:space="preserve"> Consistent with DHR's Q1 commentary on "dynamic" macro environment; pushouts rather than cancellations suggest demand is deferred, not destroyed.</w:t>
      </w:r>
    </w:p>
    <w:p>
      <w:pPr>
        <w:pStyle w:val="ListBullet"/>
        <w:ind w:left="360" w:hanging="360"/>
      </w:pPr>
      <w:r>
        <w:rPr>
          <w:rFonts w:ascii="Calibri" w:hAnsi="Calibri"/>
          <w:b/>
          <w:color w:val="525866"/>
          <w:sz w:val="22"/>
        </w:rPr>
        <w:t xml:space="preserve">Reshoring "still early innings": </w:t>
      </w:r>
      <w:r>
        <w:rPr>
          <w:rFonts w:ascii="Calibri" w:hAnsi="Calibri"/>
          <w:color w:val="525866"/>
          <w:sz w:val="22"/>
        </w:rPr>
        <w:t xml:space="preserve">MTD sees reshoring as a "great opportunity" but acknowledges it is early-stage. </w:t>
      </w:r>
      <w:r>
        <w:rPr>
          <w:rFonts w:ascii="Calibri" w:hAnsi="Calibri"/>
          <w:i/>
          <w:color w:val="525866"/>
          <w:sz w:val="22"/>
        </w:rPr>
        <w:t>DHR read-through:</w:t>
      </w:r>
      <w:r>
        <w:rPr>
          <w:rFonts w:ascii="Calibri" w:hAnsi="Calibri"/>
          <w:color w:val="525866"/>
          <w:sz w:val="22"/>
        </w:rPr>
        <w:t xml:space="preserve"> Validates DHR's characterization of bioprocessing equipment reshoring as "early days of a years-long CapEx cycle" — the opportunity is real but the revenue ramp is gradual.</w:t>
      </w:r>
    </w:p>
    <w:p>
      <w:pPr>
        <w:pStyle w:val="Heading3"/>
      </w:pPr>
      <w:r>
        <w:rPr>
          <w:rFonts w:ascii="Calibri" w:hAnsi="Calibri"/>
          <w:b/>
          <w:color w:val="3B4259"/>
          <w:sz w:val="24"/>
        </w:rPr>
        <w:t>Waters Corporation (WAT) — Q1 2026 Earnings Call (May 5, 2026)</w:t>
      </w:r>
    </w:p>
    <w:p>
      <w:r>
        <w:rPr>
          <w:rFonts w:ascii="Calibri" w:hAnsi="Calibri"/>
          <w:i/>
          <w:color w:val="525866"/>
          <w:sz w:val="22"/>
        </w:rPr>
        <w:t>Relevance: WAT (post-BD Biosciences acquisition) is a peer in analytical instruments and diagnostics with significant pharma and China exposure.</w:t>
      </w:r>
    </w:p>
    <w:p>
      <w:pPr>
        <w:pStyle w:val="ListBullet"/>
        <w:ind w:left="360" w:hanging="360"/>
      </w:pPr>
      <w:r>
        <w:rPr>
          <w:rFonts w:ascii="Calibri" w:hAnsi="Calibri"/>
          <w:b/>
          <w:color w:val="525866"/>
          <w:sz w:val="22"/>
        </w:rPr>
        <w:t xml:space="preserve">Pharma "mid-teens" growth with sustained above-market performance: </w:t>
      </w:r>
      <w:r>
        <w:rPr>
          <w:rFonts w:ascii="Calibri" w:hAnsi="Calibri"/>
          <w:color w:val="525866"/>
          <w:sz w:val="22"/>
        </w:rPr>
        <w:t xml:space="preserve">"Spending trends remained strong across ethical pharma, CDMOs and Chinese biotech." WAT raised full-year organic growth guide to 6.5–8%. "Feel extremely good about what's happening in pharma." </w:t>
      </w:r>
      <w:r>
        <w:rPr>
          <w:rFonts w:ascii="Calibri" w:hAnsi="Calibri"/>
          <w:i/>
          <w:color w:val="525866"/>
          <w:sz w:val="22"/>
        </w:rPr>
        <w:t>DHR read-through:</w:t>
      </w:r>
      <w:r>
        <w:rPr>
          <w:rFonts w:ascii="Calibri" w:hAnsi="Calibri"/>
          <w:color w:val="525866"/>
          <w:sz w:val="22"/>
        </w:rPr>
        <w:t xml:space="preserve"> Strong pharma demand across CDMOs and Chinese biotech is a direct positive for DHR's bioprocessing consumables and Life Sciences segments.</w:t>
      </w:r>
    </w:p>
    <w:p>
      <w:pPr>
        <w:pStyle w:val="ListBullet"/>
        <w:ind w:left="360" w:hanging="360"/>
      </w:pPr>
      <w:r>
        <w:rPr>
          <w:rFonts w:ascii="Calibri" w:hAnsi="Calibri"/>
          <w:b/>
          <w:color w:val="525866"/>
          <w:sz w:val="22"/>
        </w:rPr>
        <w:t xml:space="preserve">China pharma "doing extremely well" — ~1/3 of large pharma in-licensed molecules from China: </w:t>
      </w:r>
      <w:r>
        <w:rPr>
          <w:rFonts w:ascii="Calibri" w:hAnsi="Calibri"/>
          <w:color w:val="525866"/>
          <w:sz w:val="22"/>
        </w:rPr>
        <w:t xml:space="preserve">"Roughly 1/3 of all biotech molecules that are in-licensed by large pharma now come from China. That has helped the CDMO industry grow and is giving birth to fully integrated innovative pharma companies in China." </w:t>
      </w:r>
      <w:r>
        <w:rPr>
          <w:rFonts w:ascii="Calibri" w:hAnsi="Calibri"/>
          <w:i/>
          <w:color w:val="525866"/>
          <w:sz w:val="22"/>
        </w:rPr>
        <w:t>DHR read-through:</w:t>
      </w:r>
      <w:r>
        <w:rPr>
          <w:rFonts w:ascii="Calibri" w:hAnsi="Calibri"/>
          <w:color w:val="525866"/>
          <w:sz w:val="22"/>
        </w:rPr>
        <w:t xml:space="preserve"> Directly validates DHR's China bioprocessing double-digit growth thesis; China biotech monetization of therapies is driving consumables demand.</w:t>
      </w:r>
    </w:p>
    <w:p>
      <w:pPr>
        <w:pStyle w:val="ListBullet"/>
        <w:ind w:left="360" w:hanging="360"/>
      </w:pPr>
      <w:r>
        <w:rPr>
          <w:rFonts w:ascii="Calibri" w:hAnsi="Calibri"/>
          <w:b/>
          <w:color w:val="525866"/>
          <w:sz w:val="22"/>
        </w:rPr>
        <w:t xml:space="preserve">Instrument replacement cycle has "good runway into 2027": </w:t>
      </w:r>
      <w:r>
        <w:rPr>
          <w:rFonts w:ascii="Calibri" w:hAnsi="Calibri"/>
          <w:color w:val="525866"/>
          <w:sz w:val="22"/>
        </w:rPr>
        <w:t xml:space="preserve">WAT sees continued instrument replacement momentum, with reshoring placements expected in H2 2027–2028 bridging any potential air pocket. </w:t>
      </w:r>
      <w:r>
        <w:rPr>
          <w:rFonts w:ascii="Calibri" w:hAnsi="Calibri"/>
          <w:i/>
          <w:color w:val="525866"/>
          <w:sz w:val="22"/>
        </w:rPr>
        <w:t>DHR read-through:</w:t>
      </w:r>
      <w:r>
        <w:rPr>
          <w:rFonts w:ascii="Calibri" w:hAnsi="Calibri"/>
          <w:color w:val="525866"/>
          <w:sz w:val="22"/>
        </w:rPr>
        <w:t xml:space="preserve"> Supports DHR's bioprocessing equipment order recovery thesis; the replacement cycle and reshoring are complementary multi-year tailwinds.</w:t>
      </w:r>
    </w:p>
    <w:p>
      <w:pPr>
        <w:pStyle w:val="ListBullet"/>
        <w:ind w:left="360" w:hanging="360"/>
      </w:pPr>
      <w:r>
        <w:rPr>
          <w:rFonts w:ascii="Calibri" w:hAnsi="Calibri"/>
          <w:b/>
          <w:color w:val="525866"/>
          <w:sz w:val="22"/>
        </w:rPr>
        <w:t xml:space="preserve">China DRG headwind annualizing in H2 2026: </w:t>
      </w:r>
      <w:r>
        <w:rPr>
          <w:rFonts w:ascii="Calibri" w:hAnsi="Calibri"/>
          <w:color w:val="525866"/>
          <w:sz w:val="22"/>
        </w:rPr>
        <w:t xml:space="preserve">WAT's Advanced Diagnostics Division faces a 2% China DRG-related headwind that will annualize into the baseline in H2, "positioning the business for continued acceleration." </w:t>
      </w:r>
      <w:r>
        <w:rPr>
          <w:rFonts w:ascii="Calibri" w:hAnsi="Calibri"/>
          <w:i/>
          <w:color w:val="525866"/>
          <w:sz w:val="22"/>
        </w:rPr>
        <w:t>DHR read-through:</w:t>
      </w:r>
      <w:r>
        <w:rPr>
          <w:rFonts w:ascii="Calibri" w:hAnsi="Calibri"/>
          <w:color w:val="525866"/>
          <w:sz w:val="22"/>
        </w:rPr>
        <w:t xml:space="preserve"> Directly analogous to DHR's China Diagnostics VBP headwind; both companies expect the pricing pressure to moderate as it anniversaries, supporting H2 acceleration.</w:t>
      </w:r>
    </w:p>
    <w:p>
      <w:pPr>
        <w:pStyle w:val="Heading3"/>
      </w:pPr>
      <w:r>
        <w:rPr>
          <w:rFonts w:ascii="Calibri" w:hAnsi="Calibri"/>
          <w:b/>
          <w:color w:val="3B4259"/>
          <w:sz w:val="24"/>
        </w:rPr>
        <w:t>Revvity (RVTY) — Q1 2026 Earnings Call (May 5, 2026)</w:t>
      </w:r>
    </w:p>
    <w:p>
      <w:r>
        <w:rPr>
          <w:rFonts w:ascii="Calibri" w:hAnsi="Calibri"/>
          <w:i/>
          <w:color w:val="525866"/>
          <w:sz w:val="22"/>
        </w:rPr>
        <w:t>Relevance: RVTY is a life sciences tools and diagnostics peer with significant China and pharma exposure. Its decision to divest China immunodiagnostics is a notable read-through for DHR's China Diagnostics strategy.</w:t>
      </w:r>
    </w:p>
    <w:p>
      <w:pPr>
        <w:pStyle w:val="ListBullet"/>
        <w:ind w:left="360" w:hanging="360"/>
      </w:pPr>
      <w:r>
        <w:rPr>
          <w:rFonts w:ascii="Calibri" w:hAnsi="Calibri"/>
          <w:b/>
          <w:color w:val="525866"/>
          <w:sz w:val="22"/>
        </w:rPr>
        <w:t xml:space="preserve">China immunodiagnostics divestiture — "persistent policy-induced headwinds": </w:t>
      </w:r>
      <w:r>
        <w:rPr>
          <w:rFonts w:ascii="Calibri" w:hAnsi="Calibri"/>
          <w:color w:val="525866"/>
          <w:sz w:val="22"/>
        </w:rPr>
        <w:t xml:space="preserve">RVTY decided to divest its China immunodiagnostics business (~6% of revenue) due to "persistent policy-induced headwinds that have dramatically impacted both customer demand and pricing dynamics" expected to continue "over the medium term." </w:t>
      </w:r>
      <w:r>
        <w:rPr>
          <w:rFonts w:ascii="Calibri" w:hAnsi="Calibri"/>
          <w:i/>
          <w:color w:val="525866"/>
          <w:sz w:val="22"/>
        </w:rPr>
        <w:t>DHR read-through:</w:t>
      </w:r>
      <w:r>
        <w:rPr>
          <w:rFonts w:ascii="Calibri" w:hAnsi="Calibri"/>
          <w:color w:val="525866"/>
          <w:sz w:val="22"/>
        </w:rPr>
        <w:t xml:space="preserve"> This is the most important RVTY read-through for DHR — it validates that China Diagnostics VBP/pricing headwinds are structural and multi-year, not transitory. DHR's decision to maintain its China Diagnostics presence (with a $75–100M FY headwind modeled) rather than divest reflects a different strategic calculus (scale, DBS, Beckman Coulter positioning), but RVTY's exit confirms the severity of the headwind.</w:t>
      </w:r>
    </w:p>
    <w:p>
      <w:pPr>
        <w:pStyle w:val="ListBullet"/>
        <w:ind w:left="360" w:hanging="360"/>
      </w:pPr>
      <w:r>
        <w:rPr>
          <w:rFonts w:ascii="Calibri" w:hAnsi="Calibri"/>
          <w:b/>
          <w:color w:val="525866"/>
          <w:sz w:val="22"/>
        </w:rPr>
        <w:t xml:space="preserve">Pharma/biotech "somewhat measured" but early indicators improving: </w:t>
      </w:r>
      <w:r>
        <w:rPr>
          <w:rFonts w:ascii="Calibri" w:hAnsi="Calibri"/>
          <w:color w:val="525866"/>
          <w:sz w:val="22"/>
        </w:rPr>
        <w:t xml:space="preserve">"Customer behavior continues to remain somewhat measured as customers work through budget cycles, we are seeing early indicators that we believe should lead to future improvement." Optimistic that pharma customers are "starting to move on the right path." </w:t>
      </w:r>
      <w:r>
        <w:rPr>
          <w:rFonts w:ascii="Calibri" w:hAnsi="Calibri"/>
          <w:i/>
          <w:color w:val="525866"/>
          <w:sz w:val="22"/>
        </w:rPr>
        <w:t>DHR read-through:</w:t>
      </w:r>
      <w:r>
        <w:rPr>
          <w:rFonts w:ascii="Calibri" w:hAnsi="Calibri"/>
          <w:color w:val="525866"/>
          <w:sz w:val="22"/>
        </w:rPr>
        <w:t xml:space="preserve"> Consistent with DHR's Life Sciences pharma commentary; the recovery is gradual, not rapid, which is already embedded in DHR's conservative guidance.</w:t>
      </w:r>
    </w:p>
    <w:p>
      <w:pPr>
        <w:pStyle w:val="ListBullet"/>
        <w:ind w:left="360" w:hanging="360"/>
      </w:pPr>
      <w:r>
        <w:rPr>
          <w:rFonts w:ascii="Calibri" w:hAnsi="Calibri"/>
          <w:b/>
          <w:color w:val="525866"/>
          <w:sz w:val="22"/>
        </w:rPr>
        <w:t xml:space="preserve">AI to drive "significant increases in demand" for consumables, instruments, software: </w:t>
      </w:r>
      <w:r>
        <w:rPr>
          <w:rFonts w:ascii="Calibri" w:hAnsi="Calibri"/>
          <w:color w:val="525866"/>
          <w:sz w:val="22"/>
        </w:rPr>
        <w:t xml:space="preserve">RVTY sees AI creating a "demand bottleneck in validation related work" as AI generates more therapeutic hypotheses requiring wet-lab validation. Currently in "infrastructure build-out phase." </w:t>
      </w:r>
      <w:r>
        <w:rPr>
          <w:rFonts w:ascii="Calibri" w:hAnsi="Calibri"/>
          <w:i/>
          <w:color w:val="525866"/>
          <w:sz w:val="22"/>
        </w:rPr>
        <w:t>DHR read-through:</w:t>
      </w:r>
      <w:r>
        <w:rPr>
          <w:rFonts w:ascii="Calibri" w:hAnsi="Calibri"/>
          <w:color w:val="525866"/>
          <w:sz w:val="22"/>
        </w:rPr>
        <w:t xml:space="preserve"> Reinforces the AI-as-demand-accelerator thesis; the validation bottleneck benefits bioprocessing consumables and life science tools.</w:t>
      </w:r>
    </w:p>
    <w:p>
      <w:pPr>
        <w:pStyle w:val="ListBullet"/>
        <w:ind w:left="360" w:hanging="360"/>
      </w:pPr>
      <w:r>
        <w:rPr>
          <w:rFonts w:ascii="Calibri" w:hAnsi="Calibri"/>
          <w:b/>
          <w:color w:val="525866"/>
          <w:sz w:val="22"/>
        </w:rPr>
        <w:t xml:space="preserve">Full-year organic growth guide raised to 3–4% (ex-China immunodiagnostics): </w:t>
      </w:r>
      <w:r>
        <w:rPr>
          <w:rFonts w:ascii="Calibri" w:hAnsi="Calibri"/>
          <w:color w:val="525866"/>
          <w:sz w:val="22"/>
        </w:rPr>
        <w:t xml:space="preserve">Divestiture improves organic growth by ~100bps and margins by ~30bps. </w:t>
      </w:r>
      <w:r>
        <w:rPr>
          <w:rFonts w:ascii="Calibri" w:hAnsi="Calibri"/>
          <w:i/>
          <w:color w:val="525866"/>
          <w:sz w:val="22"/>
        </w:rPr>
        <w:t>DHR read-through:</w:t>
      </w:r>
      <w:r>
        <w:rPr>
          <w:rFonts w:ascii="Calibri" w:hAnsi="Calibri"/>
          <w:color w:val="525866"/>
          <w:sz w:val="22"/>
        </w:rPr>
        <w:t xml:space="preserve"> Neutral for DHR directly; confirms that ex-China, the life sciences tools market is recovering at a low-to-mid single-digit pace, consistent with DHR's guidance.</w:t>
      </w:r>
    </w:p>
    <w:p>
      <w:pPr>
        <w:pStyle w:val="Heading3"/>
      </w:pPr>
      <w:r>
        <w:rPr>
          <w:rFonts w:ascii="Calibri" w:hAnsi="Calibri"/>
          <w:b/>
          <w:color w:val="3B4259"/>
          <w:sz w:val="24"/>
        </w:rPr>
        <w:t>IQVIA Holdings (IQV) — Q1 2026 Earnings Call (May 5, 2026)</w:t>
      </w:r>
    </w:p>
    <w:p>
      <w:r>
        <w:rPr>
          <w:rFonts w:ascii="Calibri" w:hAnsi="Calibri"/>
          <w:i/>
          <w:color w:val="525866"/>
          <w:sz w:val="22"/>
        </w:rPr>
        <w:t>Relevance: IQV is a CRO/clinical research peer with deep pharma and biotech client relationships. Its commentary on pharma capital deployment and biotech funding is a leading indicator for DHR's Life Sciences and Biotechnology segments.</w:t>
      </w:r>
    </w:p>
    <w:p>
      <w:pPr>
        <w:pStyle w:val="ListBullet"/>
        <w:ind w:left="360" w:hanging="360"/>
      </w:pPr>
      <w:r>
        <w:rPr>
          <w:rFonts w:ascii="Calibri" w:hAnsi="Calibri"/>
          <w:b/>
          <w:color w:val="525866"/>
          <w:sz w:val="22"/>
        </w:rPr>
        <w:t xml:space="preserve">Biotech funding nearly doubled YoY in Q1 2026 ($25B vs. ~$13B in Q1 2025): </w:t>
      </w:r>
      <w:r>
        <w:rPr>
          <w:rFonts w:ascii="Calibri" w:hAnsi="Calibri"/>
          <w:color w:val="525866"/>
          <w:sz w:val="22"/>
        </w:rPr>
        <w:t xml:space="preserve">"EVP funding was very strong in the first quarter, reaching $25 billion according to BioWorld, which is almost double the funding in Q1 2025." Demand indicators "quite strong." </w:t>
      </w:r>
      <w:r>
        <w:rPr>
          <w:rFonts w:ascii="Calibri" w:hAnsi="Calibri"/>
          <w:i/>
          <w:color w:val="525866"/>
          <w:sz w:val="22"/>
        </w:rPr>
        <w:t>DHR read-through:</w:t>
      </w:r>
      <w:r>
        <w:rPr>
          <w:rFonts w:ascii="Calibri" w:hAnsi="Calibri"/>
          <w:color w:val="525866"/>
          <w:sz w:val="22"/>
        </w:rPr>
        <w:t xml:space="preserve"> Strong biotech funding is a 12–18 month leading indicator for bioprocessing consumables demand (funded biotechs eventually need manufacturing capacity). Validates DHR's thesis that biotech capital markets are supportive of the multi-year bioprocessing recovery.</w:t>
      </w:r>
    </w:p>
    <w:p>
      <w:pPr>
        <w:pStyle w:val="ListBullet"/>
        <w:ind w:left="360" w:hanging="360"/>
      </w:pPr>
      <w:r>
        <w:rPr>
          <w:rFonts w:ascii="Calibri" w:hAnsi="Calibri"/>
          <w:b/>
          <w:color w:val="525866"/>
          <w:sz w:val="22"/>
        </w:rPr>
        <w:t xml:space="preserve">Large pharma "more deliberate" on capital deployment, but constructive: </w:t>
      </w:r>
      <w:r>
        <w:rPr>
          <w:rFonts w:ascii="Calibri" w:hAnsi="Calibri"/>
          <w:color w:val="525866"/>
          <w:sz w:val="22"/>
        </w:rPr>
        <w:t xml:space="preserve">"Large sponsors are still taking a more deliberate approach to capital deployment... It's getting there. We're seeing things going back to the right direction." Large pharma activity expected to be "a little slower than it has been, much better than it was last year." </w:t>
      </w:r>
      <w:r>
        <w:rPr>
          <w:rFonts w:ascii="Calibri" w:hAnsi="Calibri"/>
          <w:i/>
          <w:color w:val="525866"/>
          <w:sz w:val="22"/>
        </w:rPr>
        <w:t>DHR read-through:</w:t>
      </w:r>
      <w:r>
        <w:rPr>
          <w:rFonts w:ascii="Calibri" w:hAnsi="Calibri"/>
          <w:color w:val="525866"/>
          <w:sz w:val="22"/>
        </w:rPr>
        <w:t xml:space="preserve"> The "deliberate" large pharma posture is a mild caution for DHR's bioprocessing equipment order conversion — large pharma CapEx decisions take time, which is why DHR's full-year equipment guide remains flat despite strong Q1 orders.</w:t>
      </w:r>
    </w:p>
    <w:p>
      <w:pPr>
        <w:pStyle w:val="ListBullet"/>
        <w:ind w:left="360" w:hanging="360"/>
      </w:pPr>
      <w:r>
        <w:rPr>
          <w:rFonts w:ascii="Calibri" w:hAnsi="Calibri"/>
          <w:b/>
          <w:color w:val="525866"/>
          <w:sz w:val="22"/>
        </w:rPr>
        <w:t xml:space="preserve">AI creating "new demand" for CRO services, not replacing them: </w:t>
      </w:r>
      <w:r>
        <w:rPr>
          <w:rFonts w:ascii="Calibri" w:hAnsi="Calibri"/>
          <w:color w:val="525866"/>
          <w:sz w:val="22"/>
        </w:rPr>
        <w:t xml:space="preserve">"Nothing of the sort is going to happen. Quite the opposite, it creates new demand for our services." A large pharma client plans to "double the number of molecules in their pipeline because they are using AI to identify more targets." </w:t>
      </w:r>
      <w:r>
        <w:rPr>
          <w:rFonts w:ascii="Calibri" w:hAnsi="Calibri"/>
          <w:i/>
          <w:color w:val="525866"/>
          <w:sz w:val="22"/>
        </w:rPr>
        <w:t>DHR read-through:</w:t>
      </w:r>
      <w:r>
        <w:rPr>
          <w:rFonts w:ascii="Calibri" w:hAnsi="Calibri"/>
          <w:color w:val="525866"/>
          <w:sz w:val="22"/>
        </w:rPr>
        <w:t xml:space="preserve"> More molecules in the pipeline = more drugs reaching commercialization = more bioprocessing demand. Directly supports DHR's AI-as-growth-accelerator thesis.</w:t>
      </w:r>
    </w:p>
    <w:p>
      <w:pPr>
        <w:pStyle w:val="ListBullet"/>
        <w:ind w:left="360" w:hanging="360"/>
      </w:pPr>
      <w:r>
        <w:rPr>
          <w:rFonts w:ascii="Calibri" w:hAnsi="Calibri"/>
          <w:b/>
          <w:color w:val="525866"/>
          <w:sz w:val="22"/>
        </w:rPr>
        <w:t xml:space="preserve">Record backlog of $34.2B, RFP flow +high-single-digits YoY: </w:t>
      </w:r>
      <w:r>
        <w:rPr>
          <w:rFonts w:ascii="Calibri" w:hAnsi="Calibri"/>
          <w:color w:val="525866"/>
          <w:sz w:val="22"/>
        </w:rPr>
        <w:t xml:space="preserve">IQV's record backlog and growing pipeline signal sustained pharma R&amp;D investment. </w:t>
      </w:r>
      <w:r>
        <w:rPr>
          <w:rFonts w:ascii="Calibri" w:hAnsi="Calibri"/>
          <w:i/>
          <w:color w:val="525866"/>
          <w:sz w:val="22"/>
        </w:rPr>
        <w:t>DHR read-through:</w:t>
      </w:r>
      <w:r>
        <w:rPr>
          <w:rFonts w:ascii="Calibri" w:hAnsi="Calibri"/>
          <w:color w:val="525866"/>
          <w:sz w:val="22"/>
        </w:rPr>
        <w:t xml:space="preserve"> Healthy CRO backlog implies a robust drug development pipeline, which is a multi-year tailwind for bioprocessing consumables as drugs advance toward commercialization.</w:t>
      </w:r>
    </w:p>
    <w:p>
      <w:pPr>
        <w:pStyle w:val="Heading3"/>
      </w:pPr>
      <w:r>
        <w:rPr>
          <w:rFonts w:ascii="Calibri" w:hAnsi="Calibri"/>
          <w:b/>
          <w:color w:val="3B4259"/>
          <w:sz w:val="24"/>
        </w:rPr>
        <w:t>Charles River Laboratories (CRL) — Q1 2026 Earnings Call (May 7, 2026)</w:t>
      </w:r>
    </w:p>
    <w:p>
      <w:r>
        <w:rPr>
          <w:rFonts w:ascii="Calibri" w:hAnsi="Calibri"/>
          <w:i/>
          <w:color w:val="525866"/>
          <w:sz w:val="22"/>
        </w:rPr>
        <w:t>Relevance: CRL is a preclinical CRO peer. Its commentary on biopharma demand and biotech funding provides a read on early-stage drug development activity, which is a leading indicator for DHR's bioprocessing consumables.</w:t>
      </w:r>
    </w:p>
    <w:p>
      <w:pPr>
        <w:pStyle w:val="ListBullet"/>
        <w:ind w:left="360" w:hanging="360"/>
      </w:pPr>
      <w:r>
        <w:rPr>
          <w:rFonts w:ascii="Calibri" w:hAnsi="Calibri"/>
          <w:b/>
          <w:color w:val="525866"/>
          <w:sz w:val="22"/>
        </w:rPr>
        <w:t xml:space="preserve">Biopharma demand stabilized; "pockets of improvement" emerging: </w:t>
      </w:r>
      <w:r>
        <w:rPr>
          <w:rFonts w:ascii="Calibri" w:hAnsi="Calibri"/>
          <w:color w:val="525866"/>
          <w:sz w:val="22"/>
        </w:rPr>
        <w:t xml:space="preserve">"Many global biopharma clients have progressed through their restructuring and pipeline reprioritization activities and demand trends have improved, even so overall spending levels aren't yet back to historical norms." Clients are "speeding up their work, getting more programs through the pipeline." </w:t>
      </w:r>
      <w:r>
        <w:rPr>
          <w:rFonts w:ascii="Calibri" w:hAnsi="Calibri"/>
          <w:i/>
          <w:color w:val="525866"/>
          <w:sz w:val="22"/>
        </w:rPr>
        <w:t>DHR read-through:</w:t>
      </w:r>
      <w:r>
        <w:rPr>
          <w:rFonts w:ascii="Calibri" w:hAnsi="Calibri"/>
          <w:color w:val="525866"/>
          <w:sz w:val="22"/>
        </w:rPr>
        <w:t xml:space="preserve"> Preclinical activity is a 2–3 year leading indicator for bioprocessing demand; improving CRO bookings today = more drugs in clinical trials = more bioprocessing demand in 2027–2028.</w:t>
      </w:r>
    </w:p>
    <w:p>
      <w:pPr>
        <w:pStyle w:val="ListBullet"/>
        <w:ind w:left="360" w:hanging="360"/>
      </w:pPr>
      <w:r>
        <w:rPr>
          <w:rFonts w:ascii="Calibri" w:hAnsi="Calibri"/>
          <w:b/>
          <w:color w:val="525866"/>
          <w:sz w:val="22"/>
        </w:rPr>
        <w:t xml:space="preserve">Biotech funding improved "over the past 2 quarters": </w:t>
      </w:r>
      <w:r>
        <w:rPr>
          <w:rFonts w:ascii="Calibri" w:hAnsi="Calibri"/>
          <w:color w:val="525866"/>
          <w:sz w:val="22"/>
        </w:rPr>
        <w:t xml:space="preserve">"Demand trends from our biotech clients improved over the past 2 quarters as a result of the reinvigorated funding environment." Later-stage biotech expected to "rebound to more of a growth rate as we enter Q3, Q4." </w:t>
      </w:r>
      <w:r>
        <w:rPr>
          <w:rFonts w:ascii="Calibri" w:hAnsi="Calibri"/>
          <w:i/>
          <w:color w:val="525866"/>
          <w:sz w:val="22"/>
        </w:rPr>
        <w:t>DHR read-through:</w:t>
      </w:r>
      <w:r>
        <w:rPr>
          <w:rFonts w:ascii="Calibri" w:hAnsi="Calibri"/>
          <w:color w:val="525866"/>
          <w:sz w:val="22"/>
        </w:rPr>
        <w:t xml:space="preserve"> Consistent with IQV's biotech funding data; the funding-to-demand lag of 12–18 months means current funding strength supports DHR's 2026–2027 bioprocessing outlook.</w:t>
      </w:r>
    </w:p>
    <w:p>
      <w:pPr>
        <w:pStyle w:val="ListBullet"/>
        <w:ind w:left="360" w:hanging="360"/>
      </w:pPr>
      <w:r>
        <w:rPr>
          <w:rFonts w:ascii="Calibri" w:hAnsi="Calibri"/>
          <w:b/>
          <w:color w:val="525866"/>
          <w:sz w:val="22"/>
        </w:rPr>
        <w:t xml:space="preserve">China small models demand "solid" — market "rebounding and accelerating": </w:t>
      </w:r>
      <w:r>
        <w:rPr>
          <w:rFonts w:ascii="Calibri" w:hAnsi="Calibri"/>
          <w:color w:val="525866"/>
          <w:sz w:val="22"/>
        </w:rPr>
        <w:t xml:space="preserve">"Solid demand for small models in China from mid-tier biotech and CRO clients" in Q1. "An indication that the Chinese market is rebounding and accelerating." </w:t>
      </w:r>
      <w:r>
        <w:rPr>
          <w:rFonts w:ascii="Calibri" w:hAnsi="Calibri"/>
          <w:i/>
          <w:color w:val="525866"/>
          <w:sz w:val="22"/>
        </w:rPr>
        <w:t>DHR read-through:</w:t>
      </w:r>
      <w:r>
        <w:rPr>
          <w:rFonts w:ascii="Calibri" w:hAnsi="Calibri"/>
          <w:color w:val="525866"/>
          <w:sz w:val="22"/>
        </w:rPr>
        <w:t xml:space="preserve"> Corroborates DHR's China bioprocessing double-digit growth; China biotech activity is recovering across the drug development value chain.</w:t>
      </w:r>
    </w:p>
    <w:p>
      <w:pPr>
        <w:pStyle w:val="ListBullet"/>
        <w:ind w:left="360" w:hanging="360"/>
      </w:pPr>
      <w:r>
        <w:rPr>
          <w:rFonts w:ascii="Calibri" w:hAnsi="Calibri"/>
          <w:b/>
          <w:color w:val="525866"/>
          <w:sz w:val="22"/>
        </w:rPr>
        <w:t xml:space="preserve">NIH funding uncertainty "modestly impacted" academic spending: </w:t>
      </w:r>
      <w:r>
        <w:rPr>
          <w:rFonts w:ascii="Calibri" w:hAnsi="Calibri"/>
          <w:color w:val="525866"/>
          <w:sz w:val="22"/>
        </w:rPr>
        <w:t xml:space="preserve">"Government uncertainty, including funding-based pressures at the NIH, has modestly impacted client spending levels, but revenue from our global academic and government client base remained stable." </w:t>
      </w:r>
      <w:r>
        <w:rPr>
          <w:rFonts w:ascii="Calibri" w:hAnsi="Calibri"/>
          <w:i/>
          <w:color w:val="525866"/>
          <w:sz w:val="22"/>
        </w:rPr>
        <w:t>DHR read-through:</w:t>
      </w:r>
      <w:r>
        <w:rPr>
          <w:rFonts w:ascii="Calibri" w:hAnsi="Calibri"/>
          <w:color w:val="525866"/>
          <w:sz w:val="22"/>
        </w:rPr>
        <w:t xml:space="preserve"> DHR's academic/government exposure is &lt;5% of revenue; the "stable" characterization from CRL suggests the headwind is manageable and not accelerating.</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No open-market buys or discretionary sells from senior management since Q1 earnings — the only open-market sale was a </w:t>
      </w:r>
      <w:r>
        <w:rPr>
          <w:rFonts w:ascii="Calibri" w:hAnsi="Calibri"/>
          <w:b/>
          <w:color w:val="525866"/>
          <w:sz w:val="22"/>
        </w:rPr>
        <w:t>small discretionary sale by Director Alan Spoon (1,358 shares, ~$237K) on May 1, 2026</w:t>
      </w:r>
      <w:r>
        <w:rPr>
          <w:rFonts w:ascii="Calibri" w:hAnsi="Calibri"/>
          <w:color w:val="525866"/>
          <w:sz w:val="22"/>
        </w:rPr>
        <w:t>, following an option exercise; all other activity is routine (tax withholding on vesting, director stock grants, phantom share accruals). The absence of insider buying at the ~$162–175 lows in May is notable but not alarming given the Masimo deal uncertainty at the time.</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SPOON ALAN G</w:t>
            </w:r>
          </w:p>
        </w:tc>
        <w:tc>
          <w:tcPr>
            <w:tcW w:type="dxa" w:w="1440"/>
          </w:tcPr>
          <w:p>
            <w:r>
              <w:rPr>
                <w:rFonts w:ascii="Calibri" w:hAnsi="Calibri"/>
                <w:sz w:val="22"/>
              </w:rPr>
              <w:t>Director</w:t>
            </w:r>
          </w:p>
        </w:tc>
        <w:tc>
          <w:tcPr>
            <w:tcW w:type="dxa" w:w="1440"/>
          </w:tcPr>
          <w:p>
            <w:r>
              <w:rPr>
                <w:rFonts w:ascii="Calibri" w:hAnsi="Calibri"/>
                <w:sz w:val="22"/>
              </w:rPr>
              <w:t>Open Market Sale (S)</w:t>
            </w:r>
          </w:p>
        </w:tc>
        <w:tc>
          <w:tcPr>
            <w:tcW w:type="dxa" w:w="1440"/>
          </w:tcPr>
          <w:p>
            <w:r>
              <w:rPr>
                <w:rFonts w:ascii="Calibri" w:hAnsi="Calibri"/>
                <w:sz w:val="22"/>
              </w:rPr>
              <w:t>1,358 shares</w:t>
            </w:r>
          </w:p>
        </w:tc>
        <w:tc>
          <w:tcPr>
            <w:tcW w:type="dxa" w:w="1440"/>
          </w:tcPr>
          <w:p>
            <w:r>
              <w:rPr>
                <w:rFonts w:ascii="Calibri" w:hAnsi="Calibri"/>
                <w:sz w:val="22"/>
              </w:rPr>
              <w:t>May 1, 2026</w:t>
            </w:r>
          </w:p>
        </w:tc>
        <w:tc>
          <w:tcPr>
            <w:tcW w:type="dxa" w:w="1440"/>
          </w:tcPr>
          <w:p>
            <w:r>
              <w:rPr>
                <w:rFonts w:ascii="Calibri" w:hAnsi="Calibri"/>
                <w:sz w:val="22"/>
              </w:rPr>
              <w:t>Discretionary sale following option exercise (M code); not a 10b5-1 plan; ~$237K at ~$175/share</w:t>
            </w:r>
          </w:p>
        </w:tc>
      </w:tr>
      <w:tr>
        <w:tc>
          <w:tcPr>
            <w:tcW w:type="dxa" w:w="1440"/>
          </w:tcPr>
          <w:p>
            <w:r>
              <w:rPr>
                <w:rFonts w:ascii="Calibri" w:hAnsi="Calibri"/>
                <w:sz w:val="22"/>
              </w:rPr>
              <w:t>FILLER LINDA</w:t>
            </w:r>
          </w:p>
        </w:tc>
        <w:tc>
          <w:tcPr>
            <w:tcW w:type="dxa" w:w="1440"/>
          </w:tcPr>
          <w:p>
            <w:r>
              <w:rPr>
                <w:rFonts w:ascii="Calibri" w:hAnsi="Calibri"/>
                <w:sz w:val="22"/>
              </w:rPr>
              <w:t>Director</w:t>
            </w:r>
          </w:p>
        </w:tc>
        <w:tc>
          <w:tcPr>
            <w:tcW w:type="dxa" w:w="1440"/>
          </w:tcPr>
          <w:p>
            <w:r>
              <w:rPr>
                <w:rFonts w:ascii="Calibri" w:hAnsi="Calibri"/>
                <w:sz w:val="22"/>
              </w:rPr>
              <w:t>Option Exercise + Tax Withholding (M/F)</w:t>
            </w:r>
          </w:p>
        </w:tc>
        <w:tc>
          <w:tcPr>
            <w:tcW w:type="dxa" w:w="1440"/>
          </w:tcPr>
          <w:p>
            <w:r>
              <w:rPr>
                <w:rFonts w:ascii="Calibri" w:hAnsi="Calibri"/>
                <w:sz w:val="22"/>
              </w:rPr>
              <w:t>3,298 acquired / 1,181 withheld</w:t>
            </w:r>
          </w:p>
        </w:tc>
        <w:tc>
          <w:tcPr>
            <w:tcW w:type="dxa" w:w="1440"/>
          </w:tcPr>
          <w:p>
            <w:r>
              <w:rPr>
                <w:rFonts w:ascii="Calibri" w:hAnsi="Calibri"/>
                <w:sz w:val="22"/>
              </w:rPr>
              <w:t>Jul 15, 2026</w:t>
            </w:r>
          </w:p>
        </w:tc>
        <w:tc>
          <w:tcPr>
            <w:tcW w:type="dxa" w:w="1440"/>
          </w:tcPr>
          <w:p>
            <w:r>
              <w:rPr>
                <w:rFonts w:ascii="Calibri" w:hAnsi="Calibri"/>
                <w:sz w:val="22"/>
              </w:rPr>
              <w:t>Routine option exercise; F-code shares withheld for tax; not a discretionary sale</w:t>
            </w:r>
          </w:p>
        </w:tc>
      </w:tr>
      <w:tr>
        <w:tc>
          <w:tcPr>
            <w:tcW w:type="dxa" w:w="1440"/>
          </w:tcPr>
          <w:p>
            <w:r>
              <w:rPr>
                <w:rFonts w:ascii="Calibri" w:hAnsi="Calibri"/>
                <w:sz w:val="22"/>
              </w:rPr>
              <w:t>Zerhouni Elias A.</w:t>
            </w:r>
          </w:p>
        </w:tc>
        <w:tc>
          <w:tcPr>
            <w:tcW w:type="dxa" w:w="1440"/>
          </w:tcPr>
          <w:p>
            <w:r>
              <w:rPr>
                <w:rFonts w:ascii="Calibri" w:hAnsi="Calibri"/>
                <w:sz w:val="22"/>
              </w:rPr>
              <w:t>Director</w:t>
            </w:r>
          </w:p>
        </w:tc>
        <w:tc>
          <w:tcPr>
            <w:tcW w:type="dxa" w:w="1440"/>
          </w:tcPr>
          <w:p>
            <w:r>
              <w:rPr>
                <w:rFonts w:ascii="Calibri" w:hAnsi="Calibri"/>
                <w:sz w:val="22"/>
              </w:rPr>
              <w:t>Option Exercise + Tax Withholding (M/F)</w:t>
            </w:r>
          </w:p>
        </w:tc>
        <w:tc>
          <w:tcPr>
            <w:tcW w:type="dxa" w:w="1440"/>
          </w:tcPr>
          <w:p>
            <w:r>
              <w:rPr>
                <w:rFonts w:ascii="Calibri" w:hAnsi="Calibri"/>
                <w:sz w:val="22"/>
              </w:rPr>
              <w:t>3,298 acquired / 1,181 withheld</w:t>
            </w:r>
          </w:p>
        </w:tc>
        <w:tc>
          <w:tcPr>
            <w:tcW w:type="dxa" w:w="1440"/>
          </w:tcPr>
          <w:p>
            <w:r>
              <w:rPr>
                <w:rFonts w:ascii="Calibri" w:hAnsi="Calibri"/>
                <w:sz w:val="22"/>
              </w:rPr>
              <w:t>Jul 15, 2026</w:t>
            </w:r>
          </w:p>
        </w:tc>
        <w:tc>
          <w:tcPr>
            <w:tcW w:type="dxa" w:w="1440"/>
          </w:tcPr>
          <w:p>
            <w:r>
              <w:rPr>
                <w:rFonts w:ascii="Calibri" w:hAnsi="Calibri"/>
                <w:sz w:val="22"/>
              </w:rPr>
              <w:t>Routine option exercise; F-code shares withheld for tax; not a discretionary sale</w:t>
            </w:r>
          </w:p>
        </w:tc>
      </w:tr>
      <w:tr>
        <w:tc>
          <w:tcPr>
            <w:tcW w:type="dxa" w:w="1440"/>
          </w:tcPr>
          <w:p>
            <w:r>
              <w:rPr>
                <w:rFonts w:ascii="Calibri" w:hAnsi="Calibri"/>
                <w:sz w:val="22"/>
              </w:rPr>
              <w:t>Bouda Christopher</w:t>
            </w:r>
          </w:p>
        </w:tc>
        <w:tc>
          <w:tcPr>
            <w:tcW w:type="dxa" w:w="1440"/>
          </w:tcPr>
          <w:p>
            <w:r>
              <w:rPr>
                <w:rFonts w:ascii="Calibri" w:hAnsi="Calibri"/>
                <w:sz w:val="22"/>
              </w:rPr>
              <w:t>VP, Chief Accounting Officer</w:t>
            </w:r>
          </w:p>
        </w:tc>
        <w:tc>
          <w:tcPr>
            <w:tcW w:type="dxa" w:w="1440"/>
          </w:tcPr>
          <w:p>
            <w:r>
              <w:rPr>
                <w:rFonts w:ascii="Calibri" w:hAnsi="Calibri"/>
                <w:sz w:val="22"/>
              </w:rPr>
              <w:t>Tax Withholding (F)</w:t>
            </w:r>
          </w:p>
        </w:tc>
        <w:tc>
          <w:tcPr>
            <w:tcW w:type="dxa" w:w="1440"/>
          </w:tcPr>
          <w:p>
            <w:r>
              <w:rPr>
                <w:rFonts w:ascii="Calibri" w:hAnsi="Calibri"/>
                <w:sz w:val="22"/>
              </w:rPr>
              <w:t>60 shares withheld</w:t>
            </w:r>
          </w:p>
        </w:tc>
        <w:tc>
          <w:tcPr>
            <w:tcW w:type="dxa" w:w="1440"/>
          </w:tcPr>
          <w:p>
            <w:r>
              <w:rPr>
                <w:rFonts w:ascii="Calibri" w:hAnsi="Calibri"/>
                <w:sz w:val="22"/>
              </w:rPr>
              <w:t>Jul 15, 2026</w:t>
            </w:r>
          </w:p>
        </w:tc>
        <w:tc>
          <w:tcPr>
            <w:tcW w:type="dxa" w:w="1440"/>
          </w:tcPr>
          <w:p>
            <w:r>
              <w:rPr>
                <w:rFonts w:ascii="Calibri" w:hAnsi="Calibri"/>
                <w:sz w:val="22"/>
              </w:rPr>
              <w:t>Routine tax withholding on vesting; not a discretionary sale</w:t>
            </w:r>
          </w:p>
        </w:tc>
      </w:tr>
      <w:tr>
        <w:tc>
          <w:tcPr>
            <w:tcW w:type="dxa" w:w="1440"/>
          </w:tcPr>
          <w:p>
            <w:r>
              <w:rPr>
                <w:rFonts w:ascii="Calibri" w:hAnsi="Calibri"/>
                <w:sz w:val="22"/>
              </w:rPr>
              <w:t>Multiple Directors (7)</w:t>
            </w:r>
          </w:p>
        </w:tc>
        <w:tc>
          <w:tcPr>
            <w:tcW w:type="dxa" w:w="1440"/>
          </w:tcPr>
          <w:p>
            <w:r>
              <w:rPr>
                <w:rFonts w:ascii="Calibri" w:hAnsi="Calibri"/>
                <w:sz w:val="22"/>
              </w:rPr>
              <w:t>Directors</w:t>
            </w:r>
          </w:p>
        </w:tc>
        <w:tc>
          <w:tcPr>
            <w:tcW w:type="dxa" w:w="1440"/>
          </w:tcPr>
          <w:p>
            <w:r>
              <w:rPr>
                <w:rFonts w:ascii="Calibri" w:hAnsi="Calibri"/>
                <w:sz w:val="22"/>
              </w:rPr>
              <w:t>Director Stock Grant (A)</w:t>
            </w:r>
          </w:p>
        </w:tc>
        <w:tc>
          <w:tcPr>
            <w:tcW w:type="dxa" w:w="1440"/>
          </w:tcPr>
          <w:p>
            <w:r>
              <w:rPr>
                <w:rFonts w:ascii="Calibri" w:hAnsi="Calibri"/>
                <w:sz w:val="22"/>
              </w:rPr>
              <w:t>680 shares each</w:t>
            </w:r>
          </w:p>
        </w:tc>
        <w:tc>
          <w:tcPr>
            <w:tcW w:type="dxa" w:w="1440"/>
          </w:tcPr>
          <w:p>
            <w:r>
              <w:rPr>
                <w:rFonts w:ascii="Calibri" w:hAnsi="Calibri"/>
                <w:sz w:val="22"/>
              </w:rPr>
              <w:t>May 15, 2026</w:t>
            </w:r>
          </w:p>
        </w:tc>
        <w:tc>
          <w:tcPr>
            <w:tcW w:type="dxa" w:w="1440"/>
          </w:tcPr>
          <w:p>
            <w:r>
              <w:rPr>
                <w:rFonts w:ascii="Calibri" w:hAnsi="Calibri"/>
                <w:sz w:val="22"/>
              </w:rPr>
              <w:t>Routine annual director equity grant (A-code acquisition); not a market transaction</w:t>
            </w:r>
          </w:p>
        </w:tc>
      </w:tr>
      <w:tr>
        <w:tc>
          <w:tcPr>
            <w:tcW w:type="dxa" w:w="1440"/>
          </w:tcPr>
          <w:p>
            <w:r>
              <w:rPr>
                <w:rFonts w:ascii="Calibri" w:hAnsi="Calibri"/>
                <w:sz w:val="22"/>
              </w:rPr>
              <w:t>Multiple Directors (6)</w:t>
            </w:r>
          </w:p>
        </w:tc>
        <w:tc>
          <w:tcPr>
            <w:tcW w:type="dxa" w:w="1440"/>
          </w:tcPr>
          <w:p>
            <w:r>
              <w:rPr>
                <w:rFonts w:ascii="Calibri" w:hAnsi="Calibri"/>
                <w:sz w:val="22"/>
              </w:rPr>
              <w:t>Directors</w:t>
            </w:r>
          </w:p>
        </w:tc>
        <w:tc>
          <w:tcPr>
            <w:tcW w:type="dxa" w:w="1440"/>
          </w:tcPr>
          <w:p>
            <w:r>
              <w:rPr>
                <w:rFonts w:ascii="Calibri" w:hAnsi="Calibri"/>
                <w:sz w:val="22"/>
              </w:rPr>
              <w:t>Phantom Share Accrual (A)</w:t>
            </w:r>
          </w:p>
        </w:tc>
        <w:tc>
          <w:tcPr>
            <w:tcW w:type="dxa" w:w="1440"/>
          </w:tcPr>
          <w:p>
            <w:r>
              <w:rPr>
                <w:rFonts w:ascii="Calibri" w:hAnsi="Calibri"/>
                <w:sz w:val="22"/>
              </w:rPr>
              <w:t>17–260 phantom shares each</w:t>
            </w:r>
          </w:p>
        </w:tc>
        <w:tc>
          <w:tcPr>
            <w:tcW w:type="dxa" w:w="1440"/>
          </w:tcPr>
          <w:p>
            <w:r>
              <w:rPr>
                <w:rFonts w:ascii="Calibri" w:hAnsi="Calibri"/>
                <w:sz w:val="22"/>
              </w:rPr>
              <w:t>Apr 24, 2026</w:t>
            </w:r>
          </w:p>
        </w:tc>
        <w:tc>
          <w:tcPr>
            <w:tcW w:type="dxa" w:w="1440"/>
          </w:tcPr>
          <w:p>
            <w:r>
              <w:rPr>
                <w:rFonts w:ascii="Calibri" w:hAnsi="Calibri"/>
                <w:sz w:val="22"/>
              </w:rPr>
              <w:t>Routine deferred compensation phantom share accruals; not open-market transactions</w:t>
            </w:r>
          </w:p>
        </w:tc>
      </w:tr>
    </w:tbl>
    <w:p>
      <w:r>
        <w:rPr>
          <w:rFonts w:ascii="Calibri" w:hAnsi="Calibri"/>
          <w:i/>
          <w:color w:val="525866"/>
          <w:sz w:val="22"/>
        </w:rPr>
        <w:t>Source: SEC Form 4 Filings Database. Open-market transactions only (P/S codes) flagged above; all other activity is routine compensation-related (grants, option exercises, tax withholding, phantom share accruals). No open-market buys were filed by any insider since Q1 earnings. The sole discretionary sale (Spoon, May 1) was small (~$237K) and followed an option exercise — not a signal of concern.</w:t>
      </w:r>
    </w:p>
    <w:p>
      <w:r>
        <w:rPr>
          <w:rFonts w:ascii="Calibri" w:hAnsi="Calibri"/>
          <w:i/>
          <w:color w:val="525866"/>
          <w:sz w:val="22"/>
        </w:rPr>
        <w:t>Couchara Georgeann (SVP, Human Resources) had 281 shares withheld for tax on May 15, 2026 (F-code, routine vesting withholding). Dewan Feroz (Director) received 680 shares in the May 15 director grant and 187.9 phantom shares on April 24. No executive officer (CEO, CFO, COO, EVP) filed any Form 4 transactions in the period.</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