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gather recent news, stock performance, and any developments since the last report.Let me read the key transaction announcements from June/July.I now have a comprehensive picture. Let me compile a few performance stats before writing.Here is the earnings preview.</w:t>
      </w:r>
    </w:p>
    <w:p>
      <w:r>
        <w:pict>
          <v:rect style="width:0;height:1.5pt" o:hralign="center" o:hrstd="t" o:hr="t"/>
        </w:pict>
      </w:r>
    </w:p>
    <w:bookmarkStart w:id="18" w:name="X5e4710a16bb9a9d74b794a6d72bfdbce3309257"/>
    <w:p>
      <w:pPr>
        <w:pStyle w:val="Heading1"/>
      </w:pPr>
      <w:r>
        <w:t xml:space="preserve">Digital Realty (DLR) — 2Q26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July 23, 2026 (after market close) · Conference call to follow ·</w:t>
      </w:r>
      <w:r>
        <w:t xml:space="preserve"> </w:t>
      </w:r>
      <w:r>
        <w:rPr>
          <w:i/>
          <w:iCs/>
        </w:rPr>
        <w:t xml:space="preserve">NYSE: DLR</w: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DLR heads into 2Q26 riding record 1Q leasing momentum, a raised full-year outlook, and a flurry of large post-quarter M&amp;A that materially reshaped the story. The debate isn't about demand — it's about</w:t>
      </w:r>
      <w:r>
        <w:t xml:space="preserve"> </w:t>
      </w:r>
      <w:r>
        <w:rPr>
          <w:b/>
          <w:bCs/>
        </w:rPr>
        <w:t xml:space="preserve">whether leasing can stay near record levels after a blockbuster Q1, how much dilution the recent deal-making adds, and whether management raises guidance again.</w:t>
      </w:r>
    </w:p>
    <w:p>
      <w:r>
        <w:pict>
          <v:rect style="width:0;height:1.5pt" o:hralign="center" o:hrstd="t" o:hr="t"/>
        </w:pict>
      </w:r>
    </w:p>
    <w:bookmarkEnd w:id="9"/>
    <w:bookmarkStart w:id="10" w:name="X8b15d44c6a38fadab2ce3f513c93ef261fd592d"/>
    <w:p>
      <w:pPr>
        <w:pStyle w:val="Heading2"/>
      </w:pPr>
      <w:r>
        <w:t xml:space="preserve">1. Where the stock sits</w:t>
      </w:r>
    </w:p>
    <w:p>
      <w:pPr>
        <w:pStyle w:val="Compact"/>
        <w:numPr>
          <w:ilvl w:val="0"/>
          <w:numId w:val="1001"/>
        </w:numPr>
      </w:pPr>
      <w:r>
        <w:t xml:space="preserve">DLR is</w:t>
      </w:r>
      <w:r>
        <w:t xml:space="preserve"> </w:t>
      </w:r>
      <w:r>
        <w:rPr>
          <w:b/>
          <w:bCs/>
        </w:rPr>
        <w:t xml:space="preserve">up ~15% YTD</w:t>
      </w:r>
      <w:r>
        <w:t xml:space="preserve"> </w:t>
      </w:r>
      <w:r>
        <w:t xml:space="preserve">(from ~</w:t>
      </w:r>
      <m:oMath>
        <m:r>
          <m:t>155</m:t>
        </m:r>
        <m:r>
          <m:t>t</m:t>
        </m:r>
        <m:r>
          <m:t>o</m:t>
        </m:r>
        <m:r>
          <m:t> </m:t>
        </m:r>
      </m:oMath>
      <w:r>
        <w:t xml:space="preserve">178), but that masks a round trip: shares peaked near</w:t>
      </w:r>
      <w:r>
        <w:t xml:space="preserve"> </w:t>
      </w:r>
      <w:r>
        <w:rPr>
          <w:b/>
          <w:bCs/>
        </w:rPr>
        <w:t xml:space="preserve">$204 in late April</w:t>
      </w:r>
      <w:r>
        <w:t xml:space="preserve"> </w:t>
      </w:r>
      <w:r>
        <w:t xml:space="preserve">and have since given back ~12%.</w:t>
      </w:r>
    </w:p>
    <w:p>
      <w:pPr>
        <w:pStyle w:val="Compact"/>
        <w:numPr>
          <w:ilvl w:val="0"/>
          <w:numId w:val="1001"/>
        </w:numPr>
      </w:pPr>
      <w:r>
        <w:t xml:space="preserve">The stock</w:t>
      </w:r>
      <w:r>
        <w:t xml:space="preserve"> </w:t>
      </w:r>
      <w:r>
        <w:rPr>
          <w:b/>
          <w:bCs/>
        </w:rPr>
        <w:t xml:space="preserve">de-rated sharply in late June/early July</w:t>
      </w:r>
      <w:r>
        <w:t xml:space="preserve"> </w:t>
      </w:r>
      <w:r>
        <w:t xml:space="preserve">(from ~</w:t>
      </w:r>
      <m:oMath>
        <m:r>
          <m:t>195</m:t>
        </m:r>
        <m:r>
          <m:t>t</m:t>
        </m:r>
        <m:r>
          <m:t>o</m:t>
        </m:r>
        <m:r>
          <m:t> </m:t>
        </m:r>
      </m:oMath>
      <w:r>
        <w:t xml:space="preserve">173), coinciding with (a) the announced Blackstone stock-funded acquisition and (b) Blackstone's</w:t>
      </w:r>
      <w:r>
        <w:t xml:space="preserve"> </w:t>
      </w:r>
      <w:r>
        <w:rPr>
          <w:b/>
          <w:bCs/>
        </w:rPr>
        <w:t xml:space="preserve">12.3M-share secondary at $185.00</w:t>
      </w:r>
      <w:r>
        <w:t xml:space="preserve"> </w:t>
      </w:r>
      <w:r>
        <w:t xml:space="preserve">on July 1 — a dilution/overhang event even though DLR received no proceeds.</w:t>
      </w:r>
    </w:p>
    <w:p>
      <w:pPr>
        <w:pStyle w:val="Compact"/>
        <w:numPr>
          <w:ilvl w:val="0"/>
          <w:numId w:val="1001"/>
        </w:numPr>
      </w:pPr>
      <w:r>
        <w:t xml:space="preserve">Notably, DLR has</w:t>
      </w:r>
      <w:r>
        <w:t xml:space="preserve"> </w:t>
      </w:r>
      <w:r>
        <w:rPr>
          <w:b/>
          <w:bCs/>
        </w:rPr>
        <w:t xml:space="preserve">materially lagged peer Equinix (EQIX, ~+35% YTD)</w:t>
      </w:r>
      <w:r>
        <w:t xml:space="preserve">, so expectations into the print are more subdued than they were in the spring. That sets up a lower bar, but also means investors will scrutinize the dilution math.</w:t>
      </w:r>
    </w:p>
    <w:p>
      <w:r>
        <w:pict>
          <v:rect style="width:0;height:1.5pt" o:hralign="center" o:hrstd="t" o:hr="t"/>
        </w:pict>
      </w:r>
    </w:p>
    <w:bookmarkEnd w:id="10"/>
    <w:bookmarkStart w:id="11" w:name="Xc04df7e49d5b473401ee95748686219cd95b9b8"/>
    <w:p>
      <w:pPr>
        <w:pStyle w:val="Heading2"/>
      </w:pPr>
      <w:r>
        <w:t xml:space="preserve">2. The big story since 1Q: a wave of capital-intensive M&amp;A</w:t>
      </w:r>
    </w:p>
    <w:p>
      <w:pPr>
        <w:pStyle w:val="FirstParagraph"/>
      </w:pPr>
      <w:r>
        <w:t xml:space="preserve">Between the April call and this print, management executed on all three "pillars of growth." These are the swing factors for guidance and the balance sheet: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Transaction (announced)</w:t>
            </w:r>
          </w:p>
        </w:tc>
        <w:tc>
          <w:tcPr/>
          <w:p>
            <w:pPr>
              <w:pStyle w:val="Compact"/>
            </w:pPr>
            <w:r>
              <w:t xml:space="preserve">Size / structure</w:t>
            </w:r>
          </w:p>
        </w:tc>
        <w:tc>
          <w:tcPr/>
          <w:p>
            <w:pPr>
              <w:pStyle w:val="Compact"/>
            </w:pPr>
            <w:r>
              <w:t xml:space="preserve">Why it matters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Blackstone NoVa JV buy-in</w:t>
            </w:r>
            <w:r>
              <w:t xml:space="preserve"> </w:t>
            </w:r>
            <w:r>
              <w:t xml:space="preserve">(Jun 29, closed Jun 30)</w:t>
            </w:r>
          </w:p>
        </w:tc>
        <w:tc>
          <w:tcPr/>
          <w:p>
            <w:pPr>
              <w:pStyle w:val="Compact"/>
            </w:pPr>
            <w:r>
              <w:t xml:space="preserve">64% blended equity stake in 3 fully-leased NoVa data centers, 288 MW;</w:t>
            </w:r>
            <w:r>
              <w:t xml:space="preserve"> </w:t>
            </w:r>
            <w:r>
              <w:rPr>
                <w:b/>
                <w:bCs/>
              </w:rPr>
              <w:t xml:space="preserve">$7.8B gross value;</w:t>
            </w:r>
            <w:r>
              <w:rPr>
                <w:b/>
                <w:bCs/>
              </w:rPr>
              <w:t xml:space="preserve"> </w:t>
            </w:r>
            <m:oMath>
              <m:r>
                <m:t>3.5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</m:oMath>
            <w:r>
              <w:rPr>
                <w:b/>
                <w:bCs/>
              </w:rPr>
              <w:t xml:space="preserve">1.2B cash + $2.3B stock)</w:t>
            </w:r>
          </w:p>
        </w:tc>
        <w:tc>
          <w:tcPr/>
          <w:p>
            <w:pPr>
              <w:pStyle w:val="Compact"/>
            </w:pPr>
            <w:r>
              <w:t xml:space="preserve">15-yr leases, blended</w:t>
            </w:r>
            <w:r>
              <w:t xml:space="preserve"> </w:t>
            </w:r>
            <w:r>
              <w:rPr>
                <w:b/>
                <w:bCs/>
              </w:rPr>
              <w:t xml:space="preserve">AA- credit</w:t>
            </w:r>
            <w:r>
              <w:t xml:space="preserve">, 3.6% escalators; mgmt says</w:t>
            </w:r>
            <w:r>
              <w:t xml:space="preserve"> </w:t>
            </w:r>
            <w:r>
              <w:rPr>
                <w:b/>
                <w:bCs/>
              </w:rPr>
              <w:t xml:space="preserve">accretive to Core FFO in 2027 &amp; 2028</w:t>
            </w:r>
            <w:r>
              <w:t xml:space="preserve">. Raises share count.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Kansas City land</w:t>
            </w:r>
            <w:r>
              <w:t xml:space="preserve"> </w:t>
            </w:r>
            <w:r>
              <w:t xml:space="preserve">(Jun 22)</w:t>
            </w:r>
          </w:p>
        </w:tc>
        <w:tc>
          <w:tcPr/>
          <w:p>
            <w:pPr>
              <w:pStyle w:val="Compact"/>
            </w:pPr>
            <w:r>
              <w:t xml:space="preserve">~1,440 acres, **~$475M** cash/OP units; ESA for 600MW by early 2028 →</w:t>
            </w:r>
            <w:r>
              <w:t xml:space="preserve"> </w:t>
            </w:r>
            <w:r>
              <w:rPr>
                <w:b/>
                <w:bCs/>
              </w:rPr>
              <w:t xml:space="preserve">2 GW</w:t>
            </w:r>
            <w:r>
              <w:t xml:space="preserve"> </w:t>
            </w:r>
            <w:r>
              <w:t xml:space="preserve">at full build</w:t>
            </w:r>
          </w:p>
        </w:tc>
        <w:tc>
          <w:tcPr/>
          <w:p>
            <w:pPr>
              <w:pStyle w:val="Compact"/>
            </w:pPr>
            <w:r>
              <w:t xml:space="preserve">New top-30 hyperscale market; extends land bank runway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Teraco stake increase</w:t>
            </w:r>
            <w:r>
              <w:t xml:space="preserve"> </w:t>
            </w:r>
            <w:r>
              <w:t xml:space="preserve">(Jun 22)</w:t>
            </w:r>
          </w:p>
        </w:tc>
        <w:tc>
          <w:tcPr/>
          <w:p>
            <w:pPr>
              <w:pStyle w:val="Compact"/>
            </w:pPr>
            <w:r>
              <w:t xml:space="preserve">To</w:t>
            </w:r>
            <w:r>
              <w:t xml:space="preserve"> </w:t>
            </w:r>
            <w:r>
              <w:rPr>
                <w:b/>
                <w:bCs/>
              </w:rPr>
              <w:t xml:space="preserve">77%</w:t>
            </w:r>
            <w:r>
              <w:t xml:space="preserve"> </w:t>
            </w:r>
            <w:r>
              <w:t xml:space="preserve">(16% stake,</w:t>
            </w:r>
            <w:r>
              <w:t xml:space="preserve"> </w:t>
            </w:r>
            <w:r>
              <w:rPr>
                <w:b/>
                <w:bCs/>
              </w:rPr>
              <w:t xml:space="preserve">~$650M</w:t>
            </w:r>
            <w:r>
              <w:t xml:space="preserve">, mostly 3.4M shares)</w:t>
            </w:r>
          </w:p>
        </w:tc>
        <w:tc>
          <w:tcPr/>
          <w:p>
            <w:pPr>
              <w:pStyle w:val="Compact"/>
            </w:pPr>
            <w:r>
              <w:t xml:space="preserve">Deepens Africa colo/connectivity crown jewel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Columbia Capital acquisition</w:t>
            </w:r>
            <w:r>
              <w:t xml:space="preserve"> </w:t>
            </w:r>
            <w:r>
              <w:t xml:space="preserve">(Jun 22)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~$485M</w:t>
            </w:r>
            <w:r>
              <w:t xml:space="preserve">, mostly 2.3M shares; $9B+ fund commitments</w:t>
            </w:r>
          </w:p>
        </w:tc>
        <w:tc>
          <w:tcPr/>
          <w:p>
            <w:pPr>
              <w:pStyle w:val="Compact"/>
            </w:pPr>
            <w:r>
              <w:t xml:space="preserve">Scales the</w:t>
            </w:r>
            <w:r>
              <w:t xml:space="preserve"> </w:t>
            </w:r>
            <w:r>
              <w:rPr>
                <w:b/>
                <w:bCs/>
              </w:rPr>
              <w:t xml:space="preserve">Strategic Private Capital (SPC)</w:t>
            </w:r>
            <w:r>
              <w:t xml:space="preserve"> </w:t>
            </w:r>
            <w:r>
              <w:t xml:space="preserve">/ fund-management flywheel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$7.5B ATM program</w:t>
            </w:r>
            <w:r>
              <w:t xml:space="preserve"> </w:t>
            </w:r>
            <w:r>
              <w:t xml:space="preserve">(May 4)</w:t>
            </w:r>
          </w:p>
        </w:tc>
        <w:tc>
          <w:tcPr/>
          <w:p>
            <w:pPr>
              <w:pStyle w:val="Compact"/>
            </w:pPr>
            <w:r>
              <w:t xml:space="preserve">New equity shelf</w:t>
            </w:r>
          </w:p>
        </w:tc>
        <w:tc>
          <w:tcPr/>
          <w:p>
            <w:pPr>
              <w:pStyle w:val="Compact"/>
            </w:pPr>
            <w:r>
              <w:t xml:space="preserve">Signals ongoing equity-funded growth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question for the call:</w:t>
      </w:r>
      <w:r>
        <w:t xml:space="preserve"> </w:t>
      </w:r>
      <w:r>
        <w:t xml:space="preserve">management will almost certainly fold the Blackstone deal (and likely the others) into an</w:t>
      </w:r>
      <w:r>
        <w:t xml:space="preserve"> </w:t>
      </w:r>
      <w:r>
        <w:rPr>
          <w:b/>
          <w:bCs/>
        </w:rPr>
        <w:t xml:space="preserve">updated 2026 outlook</w:t>
      </w:r>
      <w:r>
        <w:t xml:space="preserve">, quantify accretion timing (2027+ vs. near-term drag), and update the share count. Watch for how much of the recent deal financing is equity vs. debt, and the resulting dilution.</w:t>
      </w:r>
    </w:p>
    <w:p>
      <w:r>
        <w:pict>
          <v:rect style="width:0;height:1.5pt" o:hralign="center" o:hrstd="t" o:hr="t"/>
        </w:pict>
      </w:r>
    </w:p>
    <w:bookmarkEnd w:id="11"/>
    <w:bookmarkStart w:id="12" w:name="Xed11358779da045a508338601c0af2b2bd0b54b"/>
    <w:p>
      <w:pPr>
        <w:pStyle w:val="Heading2"/>
      </w:pPr>
      <w:r>
        <w:t xml:space="preserve">3. Earnings &amp; guidance — what to watch</w:t>
      </w:r>
    </w:p>
    <w:p>
      <w:pPr>
        <w:pStyle w:val="FirstParagraph"/>
      </w:pPr>
      <w:r>
        <w:t xml:space="preserve">Recall where the bar is after the 1Q beat-and-raise: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1Q26 Core FFO:</w:t>
      </w:r>
      <w:r>
        <w:rPr>
          <w:b/>
          <w:bCs/>
        </w:rPr>
        <w:t xml:space="preserve"> </w:t>
      </w:r>
      <m:oMath>
        <m:r>
          <m:t>2.04</m:t>
        </m:r>
        <m:r>
          <m:rPr>
            <m:sty m:val="p"/>
          </m:rPr>
          <m:t>/</m:t>
        </m:r>
        <m:r>
          <m:t>s</m:t>
        </m:r>
        <m:r>
          <m:t>h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15</m:t>
        </m:r>
      </m:oMath>
      <w:r>
        <w:rPr>
          <w:b/>
          <w:bCs/>
        </w:rPr>
        <w:t xml:space="preserve">0.10 guidance raise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2026 Core FFO guide raised to</w:t>
      </w:r>
      <w:r>
        <w:rPr>
          <w:b/>
          <w:bCs/>
        </w:rPr>
        <w:t xml:space="preserve"> </w:t>
      </w:r>
      <m:oMath>
        <m:r>
          <m:t>8.00</m:t>
        </m:r>
        <m:r>
          <m:rPr>
            <m:sty m:val="p"/>
          </m:rPr>
          <m:t>–</m:t>
        </m:r>
      </m:oMath>
      <w:r>
        <w:rPr>
          <w:b/>
          <w:bCs/>
        </w:rPr>
        <w:t xml:space="preserve">8.10</w:t>
      </w:r>
      <w:r>
        <w:t xml:space="preserve"> </w:t>
      </w:r>
      <w:r>
        <w:t xml:space="preserve">(~9% growth at midpoint); constant-currency</w:t>
      </w:r>
      <w:r>
        <w:t xml:space="preserve"> </w:t>
      </w:r>
      <m:oMath>
        <m:r>
          <m:t>7.95</m:t>
        </m:r>
        <m:r>
          <m:rPr>
            <m:sty m:val="p"/>
          </m:rPr>
          <m:t>–</m:t>
        </m:r>
      </m:oMath>
      <w:r>
        <w:t xml:space="preserve">8.05.</w:t>
      </w:r>
    </w:p>
    <w:p>
      <w:pPr>
        <w:pStyle w:val="Compact"/>
        <w:numPr>
          <w:ilvl w:val="0"/>
          <w:numId w:val="1002"/>
        </w:numPr>
      </w:pPr>
      <w:r>
        <w:t xml:space="preserve">CFO Mercier explicitly</w:t>
      </w:r>
      <w:r>
        <w:t xml:space="preserve"> </w:t>
      </w:r>
      <w:r>
        <w:rPr>
          <w:b/>
          <w:bCs/>
        </w:rPr>
        <w:t xml:space="preserve">flagged a 2Q step-down</w:t>
      </w:r>
      <w:r>
        <w:t xml:space="preserve">, then a 3Q rebound and a "high note" 4Q — driven by (a) OpEx ramping in Q2/Q3, (b) rising development/land investment, and (c) planned capital recycling. So a</w:t>
      </w:r>
      <w:r>
        <w:t xml:space="preserve"> </w:t>
      </w:r>
      <w:r>
        <w:rPr>
          <w:b/>
          <w:bCs/>
        </w:rPr>
        <w:t xml:space="preserve">sequential dip in Core FFO is expected and should not be read as a negative</w:t>
      </w:r>
      <w:r>
        <w:t xml:space="preserve"> </w:t>
      </w:r>
      <w:r>
        <w:t xml:space="preserve">if the full-year trajectory holds.</w:t>
      </w:r>
    </w:p>
    <w:p>
      <w:pPr>
        <w:pStyle w:val="FirstParagraph"/>
      </w:pPr>
      <w:r>
        <w:rPr>
          <w:b/>
          <w:bCs/>
        </w:rPr>
        <w:t xml:space="preserve">Things I'd focus on: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Does guidance go up again?</w:t>
      </w:r>
      <w:r>
        <w:t xml:space="preserve"> </w:t>
      </w:r>
      <w:r>
        <w:t xml:space="preserve">The Blackstone deal and FX tailwind (weaker USD vs. the $1.15–1.20 EUR assumption) argue for an upward bias; offsetting that is near-term dilution from stock-funded M&amp;A. A raise would be a positive surprise; a reaffirm with "accretion in 2027" framing is the base case.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sequential Q2 dip</w:t>
      </w:r>
      <w:r>
        <w:t xml:space="preserve"> </w:t>
      </w:r>
      <w:r>
        <w:t xml:space="preserve">— make sure it lands roughly as guided (~$2.00 area) and isn't worse.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Net income optics</w:t>
      </w:r>
      <w:r>
        <w:t xml:space="preserve"> </w:t>
      </w:r>
      <w:r>
        <w:t xml:space="preserve">— 2Q25 had a huge one-time gain (~$3.03 EPS from property dispositions); GAAP y/y comparisons will look distorted. Focus on Core FFO.</w:t>
      </w:r>
    </w:p>
    <w:p>
      <w:r>
        <w:pict>
          <v:rect style="width:0;height:1.5pt" o:hralign="center" o:hrstd="t" o:hr="t"/>
        </w:pict>
      </w:r>
    </w:p>
    <w:bookmarkEnd w:id="12"/>
    <w:bookmarkStart w:id="13" w:name="X23a179e36936e1f1be1fe7b1e19f8e3c2951c4f"/>
    <w:p>
      <w:pPr>
        <w:pStyle w:val="Heading2"/>
      </w:pPr>
      <w:r>
        <w:t xml:space="preserve">4. Leasing — the metric that moves the stock</w:t>
      </w:r>
    </w:p>
    <w:p>
      <w:pPr>
        <w:pStyle w:val="FirstParagraph"/>
      </w:pPr>
      <w:r>
        <w:t xml:space="preserve">1Q26 was extraordinary and sets a tough comp: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$707M total bookings / $423M at DLR share</w:t>
      </w:r>
      <w:r>
        <w:t xml:space="preserve"> </w:t>
      </w:r>
      <w:r>
        <w:t xml:space="preserve">— 2nd-highest ever, ~70% above the next-best quarter.</w:t>
      </w:r>
    </w:p>
    <w:p>
      <w:pPr>
        <w:pStyle w:val="Compact"/>
        <w:numPr>
          <w:ilvl w:val="0"/>
          <w:numId w:val="1004"/>
        </w:numPr>
      </w:pPr>
      <w:r>
        <w:t xml:space="preserve">Included the</w:t>
      </w:r>
      <w:r>
        <w:t xml:space="preserve"> </w:t>
      </w:r>
      <w:r>
        <w:rPr>
          <w:b/>
          <w:bCs/>
        </w:rPr>
        <w:t xml:space="preserve">largest lease in company history</w:t>
      </w:r>
      <w:r>
        <w:t xml:space="preserve">: a</w:t>
      </w:r>
      <w:r>
        <w:t xml:space="preserve"> </w:t>
      </w:r>
      <w:r>
        <w:rPr>
          <w:b/>
          <w:bCs/>
        </w:rPr>
        <w:t xml:space="preserve">200 MW AI-inference lease with a AA-rated hyperscaler in Charlotte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Record 0–1 MW + interconnection: $98M</w:t>
      </w:r>
      <w:r>
        <w:t xml:space="preserve"> </w:t>
      </w:r>
      <w:r>
        <w:t xml:space="preserve">(3rd record in 4 quarters), with</w:t>
      </w:r>
      <w:r>
        <w:t xml:space="preserve"> </w:t>
      </w:r>
      <w:r>
        <w:rPr>
          <w:b/>
          <w:bCs/>
        </w:rPr>
        <w:t xml:space="preserve">AI a record 21%</w:t>
      </w:r>
      <w:r>
        <w:t xml:space="preserve"> </w:t>
      </w:r>
      <w:r>
        <w:t xml:space="preserve">of 0–1 MW bookings;</w:t>
      </w:r>
      <w:r>
        <w:t xml:space="preserve"> </w:t>
      </w:r>
      <w:r>
        <w:rPr>
          <w:b/>
          <w:bCs/>
        </w:rPr>
        <w:t xml:space="preserve">116 new logos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Total backlog hit a record $1.8B (100%) / $1.0B (DLR share)</w:t>
      </w:r>
      <w:r>
        <w:t xml:space="preserve"> </w:t>
      </w:r>
      <w:r>
        <w:t xml:space="preserve">— commencements of $544M in 2026, $247M in 2027, $242M in 2028+.</w:t>
      </w:r>
    </w:p>
    <w:p>
      <w:pPr>
        <w:pStyle w:val="FirstParagraph"/>
      </w:pPr>
      <w:r>
        <w:rPr>
          <w:b/>
          <w:bCs/>
        </w:rPr>
        <w:t xml:space="preserve">What to watch in 2Q: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&gt;1 MW leasing will likely normalize</w:t>
      </w:r>
      <w:r>
        <w:t xml:space="preserve"> </w:t>
      </w:r>
      <w:r>
        <w:t xml:space="preserve">off the Charlotte-inflated Q1 — don't over-react to a lower headline; watch whether the</w:t>
      </w:r>
      <w:r>
        <w:t xml:space="preserve"> </w:t>
      </w:r>
      <w:r>
        <w:rPr>
          <w:b/>
          <w:bCs/>
        </w:rPr>
        <w:t xml:space="preserve">backlog keeps building</w:t>
      </w:r>
      <w:r>
        <w:t xml:space="preserve"> </w:t>
      </w:r>
      <w:r>
        <w:t xml:space="preserve">and whether they land more large hyperscale/AI deals (they teased priced-but-unleased capacity in NoVa ~275 MW, Dallas, Atlanta, and internationally).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0–1 MW durability</w:t>
      </w:r>
      <w:r>
        <w:t xml:space="preserve"> </w:t>
      </w:r>
      <w:r>
        <w:t xml:space="preserve">— management set a bar of sustaining/growing this high-margin, interconnection-rich segment (Vikram Malhotra's "$100M run-rate?" question). Continuation here is the higher-quality signal.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Commencement lag</w:t>
      </w:r>
      <w:r>
        <w:t xml:space="preserve"> </w:t>
      </w:r>
      <w:r>
        <w:t xml:space="preserve">— jumped to ~19 months in Q1 due to the phased Charlotte build. Watch whether the sign-to-commence gap normalizes.</w:t>
      </w:r>
    </w:p>
    <w:p>
      <w:r>
        <w:pict>
          <v:rect style="width:0;height:1.5pt" o:hralign="center" o:hrstd="t" o:hr="t"/>
        </w:pict>
      </w:r>
    </w:p>
    <w:bookmarkEnd w:id="13"/>
    <w:bookmarkStart w:id="14" w:name="Xfafdcffcd361c31369f1e8ea28c8ab194c75194"/>
    <w:p>
      <w:pPr>
        <w:pStyle w:val="Heading2"/>
      </w:pPr>
      <w:r>
        <w:t xml:space="preserve">5. Development, pipeline &amp; yields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Under construction scaled &gt;60% q/q to $16.5B / 1.2 GW, 61% pre-leased at 11.4% expected yield.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Total buildable capacity ~6.3 GW</w:t>
      </w:r>
      <w:r>
        <w:t xml:space="preserve"> </w:t>
      </w:r>
      <w:r>
        <w:t xml:space="preserve">(vs. ~3.0 GW operating) — a ~40% expansion runway.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Cost inflation is real:</w:t>
      </w:r>
      <w:r>
        <w:t xml:space="preserve"> </w:t>
      </w:r>
      <w:r>
        <w:t xml:space="preserve">Americas cost/MW rose to ~</w:t>
      </w:r>
      <m:oMath>
        <m:r>
          <m:t>14</m:t>
        </m:r>
        <m:r>
          <m:t>M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12.5M) on land, supply chain, and liquid-cooling-heavy designs. Management insists</w:t>
      </w:r>
      <w:r>
        <w:t xml:space="preserve"> </w:t>
      </w:r>
      <w:r>
        <w:rPr>
          <w:b/>
          <w:bCs/>
        </w:rPr>
        <w:t xml:space="preserve">market rent growth is still outpacing build-cost inflation</w:t>
      </w:r>
      <w:r>
        <w:t xml:space="preserve"> </w:t>
      </w:r>
      <w:r>
        <w:t xml:space="preserve">and defended the ~11% unlevered yields.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new development starts, whether yields hold amid inflation, and any commentary on</w:t>
      </w:r>
      <w:r>
        <w:t xml:space="preserve"> </w:t>
      </w:r>
      <w:r>
        <w:rPr>
          <w:b/>
          <w:bCs/>
        </w:rPr>
        <w:t xml:space="preserve">power/utility delays, labor shortages, and NIMBY/community pushback</w:t>
      </w:r>
      <w:r>
        <w:t xml:space="preserve"> </w:t>
      </w:r>
      <w:r>
        <w:t xml:space="preserve">— a rising industry risk that management addressed proactively last quarter.</w:t>
      </w:r>
    </w:p>
    <w:p>
      <w:r>
        <w:pict>
          <v:rect style="width:0;height:1.5pt" o:hralign="center" o:hrstd="t" o:hr="t"/>
        </w:pict>
      </w:r>
    </w:p>
    <w:bookmarkEnd w:id="14"/>
    <w:bookmarkStart w:id="15" w:name="Xfc410c28d18baa216d014722452fcd1e8592db3"/>
    <w:p>
      <w:pPr>
        <w:pStyle w:val="Heading2"/>
      </w:pPr>
      <w:r>
        <w:t xml:space="preserve">6. Internal growth, renewals &amp; churn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Same-capital cash NOI:</w:t>
      </w:r>
      <w:r>
        <w:t xml:space="preserve"> </w:t>
      </w:r>
      <w:r>
        <w:t xml:space="preserve">+7.9% reported but only</w:t>
      </w:r>
      <w:r>
        <w:t xml:space="preserve"> </w:t>
      </w:r>
      <w:r>
        <w:rPr>
          <w:b/>
          <w:bCs/>
        </w:rPr>
        <w:t xml:space="preserve">+2.5% constant-currency</w:t>
      </w:r>
      <w:r>
        <w:t xml:space="preserve"> </w:t>
      </w:r>
      <w:r>
        <w:t xml:space="preserve">in 1Q (depressed by a low prior-year OpEx comp on R&amp;M/labor). Full-year guide held at</w:t>
      </w:r>
      <w:r>
        <w:t xml:space="preserve"> </w:t>
      </w:r>
      <w:r>
        <w:rPr>
          <w:b/>
          <w:bCs/>
        </w:rPr>
        <w:t xml:space="preserve">4.0–5.0%</w:t>
      </w:r>
      <w:r>
        <w:t xml:space="preserve"> </w:t>
      </w:r>
      <w:r>
        <w:t xml:space="preserve">with acceleration expected through the year —</w:t>
      </w:r>
      <w:r>
        <w:t xml:space="preserve"> </w:t>
      </w:r>
      <w:r>
        <w:rPr>
          <w:b/>
          <w:bCs/>
        </w:rPr>
        <w:t xml:space="preserve">confirm the ramp is materializing.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Cash renewal spreads:</w:t>
      </w:r>
      <w:r>
        <w:t xml:space="preserve"> </w:t>
      </w:r>
      <w:r>
        <w:t xml:space="preserve">+5.0% in 1Q; full-year guide</w:t>
      </w:r>
      <w:r>
        <w:t xml:space="preserve"> </w:t>
      </w:r>
      <w:r>
        <w:rPr>
          <w:b/>
          <w:bCs/>
        </w:rPr>
        <w:t xml:space="preserve">raised to 6.5–8.5%</w:t>
      </w:r>
      <w:r>
        <w:t xml:space="preserve">, with management flagging</w:t>
      </w:r>
      <w:r>
        <w:t xml:space="preserve"> </w:t>
      </w:r>
      <w:r>
        <w:rPr>
          <w:b/>
          <w:bCs/>
        </w:rPr>
        <w:t xml:space="preserve">stronger &gt;1 MW mark-to-markets in 2H26</w:t>
      </w:r>
      <w:r>
        <w:t xml:space="preserve"> </w:t>
      </w:r>
      <w:r>
        <w:t xml:space="preserve">as legacy renewal caps increasingly aren't exercised. This is a potential positive catalyst.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Churn</w:t>
      </w:r>
      <w:r>
        <w:t xml:space="preserve"> </w:t>
      </w:r>
      <w:r>
        <w:t xml:space="preserve">remains modest (1.4% data-center total in 1Q).</w:t>
      </w:r>
    </w:p>
    <w:p>
      <w:r>
        <w:pict>
          <v:rect style="width:0;height:1.5pt" o:hralign="center" o:hrstd="t" o:hr="t"/>
        </w:pict>
      </w:r>
    </w:p>
    <w:bookmarkEnd w:id="15"/>
    <w:bookmarkStart w:id="16" w:name="Xb7367eba2e38f5e7d59909a43511e248b4e5b38"/>
    <w:p>
      <w:pPr>
        <w:pStyle w:val="Heading2"/>
      </w:pPr>
      <w:r>
        <w:t xml:space="preserve">7. Balance sheet &amp; dilution — the key risk lens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Leverage hit a multi-year low of 4.7x</w:t>
      </w:r>
      <w:r>
        <w:t xml:space="preserve"> </w:t>
      </w:r>
      <w:r>
        <w:t xml:space="preserve">net debt/EBITDA in 1Q, with the AFFO payout ratio down to ~64% — plenty of dry powder.</w:t>
      </w:r>
    </w:p>
    <w:p>
      <w:pPr>
        <w:pStyle w:val="Compact"/>
        <w:numPr>
          <w:ilvl w:val="0"/>
          <w:numId w:val="1008"/>
        </w:numPr>
      </w:pPr>
      <w:r>
        <w:t xml:space="preserve">But the growth is increasingly</w:t>
      </w:r>
      <w:r>
        <w:t xml:space="preserve"> </w:t>
      </w:r>
      <w:r>
        <w:rPr>
          <w:b/>
          <w:bCs/>
        </w:rPr>
        <w:t xml:space="preserve">equity-funded</w:t>
      </w:r>
      <w:r>
        <w:t xml:space="preserve">: 7.3M ATM shares (~</w:t>
      </w:r>
      <m:oMath>
        <m:r>
          <m:t>1.3</m:t>
        </m:r>
        <m:r>
          <m:t>B</m:t>
        </m:r>
        <m:r>
          <m:rPr>
            <m:sty m:val="p"/>
          </m:rPr>
          <m:t>)</m:t>
        </m:r>
        <m:r>
          <m:t>a</m:t>
        </m:r>
        <m:r>
          <m:t>l</m:t>
        </m:r>
        <m:r>
          <m:t>r</m:t>
        </m:r>
        <m:r>
          <m:t>e</m:t>
        </m:r>
        <m:r>
          <m:t>a</m:t>
        </m:r>
        <m:r>
          <m:t>d</m:t>
        </m:r>
        <m:r>
          <m:t>y</m:t>
        </m:r>
        <m:r>
          <m:t>s</m:t>
        </m:r>
        <m:r>
          <m:t>o</m:t>
        </m:r>
        <m:r>
          <m:t>l</m:t>
        </m:r>
        <m:r>
          <m:t>d</m:t>
        </m:r>
        <m:r>
          <m:t>i</m:t>
        </m:r>
        <m:r>
          <m:t>n</m:t>
        </m:r>
        <m:r>
          <m:t>Q</m:t>
        </m:r>
        <m:r>
          <m:t>1</m:t>
        </m:r>
        <m:r>
          <m:t>a</m:t>
        </m:r>
        <m:r>
          <m:t>t</m:t>
        </m:r>
        <m:r>
          <m:t> </m:t>
        </m:r>
      </m:oMath>
      <w:r>
        <w:t xml:space="preserve">179; a new</w:t>
      </w:r>
      <w:r>
        <w:t xml:space="preserve"> </w:t>
      </w:r>
      <m:oMath>
        <m:r>
          <m:t>7.5</m:t>
        </m:r>
        <m:r>
          <m:t>B</m:t>
        </m:r>
        <m:r>
          <m:t>A</m:t>
        </m:r>
        <m:r>
          <m:t>T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5B+ of stock/OP-unit issuance</w:t>
      </w:r>
      <w:r>
        <w:t xml:space="preserve"> </w:t>
      </w:r>
      <w:r>
        <w:t xml:space="preserve">tied to the Blackstone, Teraco, and Columbia deals. Share count is creeping up.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SPC platform</w:t>
      </w:r>
      <w:r>
        <w:t xml:space="preserve"> </w:t>
      </w:r>
      <w:r>
        <w:t xml:space="preserve">($10B+ hyperscale fund capacity + $8B+ JV) remains the intended pressure valve to fund the pipeline without over-levering — expect updates on fund deployment and the Columbia integration.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updated share count, pro-forma leverage post-Blackstone (which added assumed debt), and any new long-term debt issuance (guide was raised to $1.5–2.0B, mid-year timing).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DLR's demand narrative — AI inference moving from pilot to production, record interconnection, a swelling backlog — is intact and arguably strengthening. The 2Q print itself will likely show an</w:t>
      </w:r>
      <w:r>
        <w:t xml:space="preserve"> </w:t>
      </w:r>
      <w:r>
        <w:rPr>
          <w:b/>
          <w:bCs/>
        </w:rPr>
        <w:t xml:space="preserve">expected sequential Core FFO dip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lower headline &gt;1 MW leasing</w:t>
      </w:r>
      <w:r>
        <w:t xml:space="preserve"> </w:t>
      </w:r>
      <w:r>
        <w:t xml:space="preserve">off a record Q1; neither should rattle the thesis if the</w:t>
      </w:r>
      <w:r>
        <w:t xml:space="preserve"> </w:t>
      </w:r>
      <w:r>
        <w:rPr>
          <w:b/>
          <w:bCs/>
        </w:rPr>
        <w:t xml:space="preserve">backlog keeps growing and full-year guidance holds or rises</w:t>
      </w:r>
      <w:r>
        <w:t xml:space="preserve">.</w:t>
      </w:r>
    </w:p>
    <w:p>
      <w:pPr>
        <w:pStyle w:val="BodyText"/>
      </w:pPr>
      <w:r>
        <w:t xml:space="preserve">The real focus is</w:t>
      </w:r>
      <w:r>
        <w:t xml:space="preserve"> </w:t>
      </w:r>
      <w:r>
        <w:rPr>
          <w:b/>
          <w:bCs/>
        </w:rPr>
        <w:t xml:space="preserve">capital allocation and dilution</w:t>
      </w:r>
      <w:r>
        <w:t xml:space="preserve">: management just spent billions (heavily in stock) to buy back JV interests, enter Kansas City, and bolt on Columbia/Teraco. The bull case is these deals extend a high-quality, AA-rated, long-lease growth runway and are accretive from 2027. The bear case is near-term FFO dilution and equity issuance at a time when the stock has already lagged EQIX.</w:t>
      </w:r>
      <w:r>
        <w:t xml:space="preserve"> </w:t>
      </w:r>
      <w:r>
        <w:rPr>
          <w:b/>
          <w:bCs/>
        </w:rPr>
        <w:t xml:space="preserve">How management frames guidance, accretion timing, and the funding mix will likely matter more than the quarter's reported numbers.</w:t>
      </w:r>
    </w:p>
    <w:p>
      <w:pPr>
        <w:pStyle w:val="BodyText"/>
      </w:pPr>
      <w:r>
        <w:rPr>
          <w:i/>
          <w:iCs/>
        </w:rPr>
        <w:t xml:space="preserve">Note: This preview synthesizes DLR's 1Q26 results/transcript, guidance, June–July 8-K disclosures, and market data through 7/22/26. Figures are company-reported; I did not have access to a formal sell-side consensus, so the discussion is framed against management's own guidance rather than Street estimates.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2026-07-23T01:07:57Z</dcterms:created>
  <dcterms:modified xsi:type="dcterms:W3CDTF">2026-07-23T01:07:57Z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