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so we have Q1 2026 data (the most recent quarter reported, since Q2 2026 is tomorrow's report). Let me read these documents.# Digital Realty Trust (DLR) — Q2 2026 Earnings Preview</w:t>
      </w:r>
      <w:r>
        <w:t xml:space="preserve"> </w:t>
      </w:r>
      <w:r>
        <w:rPr>
          <w:b/>
          <w:bCs/>
        </w:rPr>
        <w:t xml:space="preserve">Reports: Thursday, July 23, 2026, after market close | Call: 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DLR shares have pulled back sharply into this report, closing at</w:t>
      </w:r>
      <w:r>
        <w:t xml:space="preserve"> </w:t>
      </w:r>
      <w:r>
        <w:rPr>
          <w:b/>
          <w:bCs/>
        </w:rPr>
        <w:t xml:space="preserve">$178.44</w:t>
      </w:r>
      <w:r>
        <w:t xml:space="preserve"> </w:t>
      </w:r>
      <w:r>
        <w:t xml:space="preserve">on July 22 — roughly</w:t>
      </w:r>
      <w:r>
        <w:t xml:space="preserve"> </w:t>
      </w:r>
      <w:r>
        <w:rPr>
          <w:b/>
          <w:bCs/>
        </w:rPr>
        <w:t xml:space="preserve">14% below</w:t>
      </w:r>
      <w:r>
        <w:t xml:space="preserve"> </w:t>
      </w:r>
      <w:r>
        <w:t xml:space="preserve">the 52-week high of $208.14 set earlier this year. Shares are down about 6% over the trailing 30 days and nearly 12% over 90 days, even though analysts have generally been</w:t>
      </w:r>
      <w:r>
        <w:t xml:space="preserve"> </w:t>
      </w:r>
      <w:r>
        <w:rPr>
          <w:i/>
          <w:iCs/>
        </w:rPr>
        <w:t xml:space="preserve">raising</w:t>
      </w:r>
      <w:r>
        <w:t xml:space="preserve"> </w:t>
      </w:r>
      <w:r>
        <w:t xml:space="preserve">estimates and price targets, leaving the stock trading at a discount to Street targets (average PT in the</w:t>
      </w:r>
      <w:r>
        <w:t xml:space="preserve"> </w:t>
      </w:r>
      <m:oMath>
        <m:r>
          <m:t>216</m:t>
        </m:r>
        <m:r>
          <m:rPr>
            <m:sty m:val="p"/>
          </m:rPr>
          <m:t>–</m:t>
        </m:r>
      </m:oMath>
      <w:r>
        <w:t xml:space="preserve">222 range from a pool of ~33-37 covering analysts, with roughly 73-79% Buy ratings). That divergence — rising estimates/targets vs. falling share price — sets up an unusually tension-filled print: the bar for "clean" execution is high given a busy quarter of capital-markets and M&amp;A activity.</w:t>
      </w:r>
    </w:p>
    <w:p>
      <w:pPr>
        <w:pStyle w:val="BodyText"/>
      </w:pPr>
      <w:r>
        <w:rPr>
          <w:b/>
          <w:bCs/>
        </w:rPr>
        <w:t xml:space="preserve">Consensus for Q2 2026:</w:t>
      </w:r>
    </w:p>
    <w:p>
      <w:pPr>
        <w:pStyle w:val="Compact"/>
        <w:numPr>
          <w:ilvl w:val="0"/>
          <w:numId w:val="1001"/>
        </w:numPr>
      </w:pPr>
      <w:r>
        <w:t xml:space="preserve">Core FFO/share:</w:t>
      </w:r>
      <w:r>
        <w:t xml:space="preserve"> </w:t>
      </w:r>
      <w:r>
        <w:rPr>
          <w:b/>
          <w:bCs/>
        </w:rPr>
        <w:t xml:space="preserve">~$1.98</w:t>
      </w:r>
      <w:r>
        <w:t xml:space="preserve">, up 5.9% y/y from $1.87</w:t>
      </w:r>
    </w:p>
    <w:p>
      <w:pPr>
        <w:pStyle w:val="Compact"/>
        <w:numPr>
          <w:ilvl w:val="0"/>
          <w:numId w:val="1001"/>
        </w:numPr>
      </w:pPr>
      <w:r>
        <w:t xml:space="preserve">Revenue:</w:t>
      </w:r>
      <w:r>
        <w:t xml:space="preserve"> </w:t>
      </w:r>
      <w:r>
        <w:rPr>
          <w:b/>
          <w:bCs/>
        </w:rPr>
        <w:t xml:space="preserve">~$1.66B</w:t>
      </w:r>
      <w:r>
        <w:t xml:space="preserve">, up ~11.4-11.5% y/y</w:t>
      </w:r>
    </w:p>
    <w:p>
      <w:pPr>
        <w:pStyle w:val="Compact"/>
        <w:numPr>
          <w:ilvl w:val="0"/>
          <w:numId w:val="1001"/>
        </w:numPr>
      </w:pPr>
      <w:r>
        <w:t xml:space="preserve">Full-year 2026 Core FFO consensus:</w:t>
      </w:r>
      <w:r>
        <w:t xml:space="preserve"> </w:t>
      </w:r>
      <w:r>
        <w:rPr>
          <w:b/>
          <w:bCs/>
        </w:rPr>
        <w:t xml:space="preserve">~$8.05/share</w:t>
      </w:r>
      <w:r>
        <w:t xml:space="preserve">, vs. management's raised guidance range of</w:t>
      </w:r>
      <w:r>
        <w:t xml:space="preserve"> </w:t>
      </w:r>
      <m:oMath>
        <m:r>
          <m:t>8.00</m:t>
        </m:r>
        <m:r>
          <m:rPr>
            <m:sty m:val="p"/>
          </m:rPr>
          <m:t>–</m:t>
        </m:r>
      </m:oMath>
      <w:r>
        <w:t xml:space="preserve">8.10</w:t>
      </w:r>
    </w:p>
    <w:p>
      <w:pPr>
        <w:pStyle w:val="FirstParagraph"/>
      </w:pPr>
      <w:r>
        <w:t xml:space="preserve">Importantly, management itself flagged on the Q1 call that Core FFO growth would</w:t>
      </w:r>
      <w:r>
        <w:t xml:space="preserve"> </w:t>
      </w:r>
      <w:r>
        <w:rPr>
          <w:b/>
          <w:bCs/>
        </w:rPr>
        <w:t xml:space="preserve">step down sequentially in Q2</w:t>
      </w:r>
      <w:r>
        <w:t xml:space="preserve"> </w:t>
      </w:r>
      <w:r>
        <w:t xml:space="preserve">before reaccelerating in Q3/Q4 — driven by rising operating expenses (opex normalizing off an easy prior-year comp), ramping development/investment spend, and planned capital recycling. So a q/q dip in Core FFO versus Q1's $2.04 should not, by itself, be read as a negative surprise; the key is whether full-year guidance holds or moves.</w:t>
      </w:r>
    </w:p>
    <w:p>
      <w:r>
        <w:pict>
          <v:rect style="width:0;height:1.5pt" o:hralign="center" o:hrstd="t" o:hr="t"/>
        </w:pict>
      </w:r>
    </w:p>
    <w:bookmarkEnd w:id="9"/>
    <w:bookmarkStart w:id="10" w:name="X223f82275284bcf981f24ae72d96762b39a7e0e"/>
    <w:p>
      <w:pPr>
        <w:pStyle w:val="Heading2"/>
      </w:pPr>
      <w:r>
        <w:t xml:space="preserve">What Happened Last Quarter (Q1 2026) — The Baseline</w:t>
      </w:r>
    </w:p>
    <w:p>
      <w:pPr>
        <w:pStyle w:val="FirstParagraph"/>
      </w:pPr>
      <w:r>
        <w:t xml:space="preserve">Digital Realty's Q1 was a blowout, setting the tone for high expectations:</w:t>
      </w:r>
    </w:p>
    <w:p>
      <w:pPr>
        <w:pStyle w:val="Compact"/>
        <w:numPr>
          <w:ilvl w:val="0"/>
          <w:numId w:val="1002"/>
        </w:numPr>
      </w:pPr>
      <w:r>
        <w:t xml:space="preserve">Digital Realty reported a core FFO per share of $2.04 in the prior quarter, surpassing the Zacks Consensus Estimate of $1.94, with results reflecting steady leasing momentum amid rising AI demand.</w:t>
      </w:r>
    </w:p>
    <w:p>
      <w:pPr>
        <w:pStyle w:val="Compact"/>
        <w:numPr>
          <w:ilvl w:val="0"/>
          <w:numId w:val="1002"/>
        </w:numPr>
      </w:pPr>
      <w:r>
        <w:t xml:space="preserve">Q1 2026 results showed core FFO of $2.04 per share, revenue of $1.64 billion, and adjusted EBITDA of $920.3 million, reflecting robust data center demand and accelerating growth.</w:t>
      </w:r>
    </w:p>
    <w:p>
      <w:pPr>
        <w:pStyle w:val="Compact"/>
        <w:numPr>
          <w:ilvl w:val="0"/>
          <w:numId w:val="1002"/>
        </w:numPr>
      </w:pPr>
      <w:r>
        <w:t xml:space="preserve">The company raised its full-year 2026 guidance, increasing core FFO per share to $8 - $8.10, revenue to $6.65 billion - $6.75 billion, and adjusted EBITDA to $3.65 billion - $3.75 billion.</w:t>
      </w:r>
    </w:p>
    <w:p>
      <w:pPr>
        <w:pStyle w:val="Compact"/>
        <w:numPr>
          <w:ilvl w:val="0"/>
          <w:numId w:val="1002"/>
        </w:numPr>
      </w:pPr>
      <w:r>
        <w:t xml:space="preserve">The company signed the largest lease in its history — a 200-megawatt AI-inference deal with an AA-rated hyperscaler in Charlotte — pushing total backlog to a record $1.8B (100% share) / $1.0B (DLR share), and net debt-to-Adjusted EBITDA fell to a</w:t>
      </w:r>
      <w:r>
        <w:t xml:space="preserve"> </w:t>
      </w:r>
      <w:r>
        <w:rPr>
          <w:b/>
          <w:bCs/>
        </w:rPr>
        <w:t xml:space="preserve">multiyear low of 4.7x</w:t>
      </w:r>
      <w:r>
        <w:t xml:space="preserve">.</w:t>
      </w:r>
    </w:p>
    <w:p>
      <w:pPr>
        <w:pStyle w:val="FirstParagraph"/>
      </w:pPr>
      <w:r>
        <w:t xml:space="preserve">That backlog ($544M of leases still slated to commence through the balance of 2026, plus $247M in 2027 and $242M in 2028+) is the single biggest internal-growth lever investors should track this quarter — the pace at which it converts to revenue matters more than any single quarter's bookings number.</w:t>
      </w:r>
    </w:p>
    <w:p>
      <w:r>
        <w:pict>
          <v:rect style="width:0;height:1.5pt" o:hralign="center" o:hrstd="t" o:hr="t"/>
        </w:pict>
      </w:r>
    </w:p>
    <w:bookmarkEnd w:id="10"/>
    <w:bookmarkStart w:id="11" w:name="Xf848700eeb7778a4f450db97a6663fa609485dc"/>
    <w:p>
      <w:pPr>
        <w:pStyle w:val="Heading2"/>
      </w:pPr>
      <w:r>
        <w:t xml:space="preserve">The Big Swing Factor: A Very Active Capital-Deployment Quarter</w:t>
      </w:r>
    </w:p>
    <w:p>
      <w:pPr>
        <w:pStyle w:val="FirstParagraph"/>
      </w:pPr>
      <w:r>
        <w:t xml:space="preserve">Unlike Q1, which was primarily an operating story, Q2 was dominated by M&amp;A and capital markets activity that will materially shape the balance sheet, share count, and forward accretion story:</w:t>
      </w:r>
    </w:p>
    <w:p>
      <w:pPr>
        <w:pStyle w:val="BodyText"/>
      </w:pPr>
      <w:r>
        <w:rPr>
          <w:b/>
          <w:bCs/>
        </w:rPr>
        <w:t xml:space="preserve">1. Blackstone Northern Virginia JV buy-in ($3.5B):</w:t>
      </w:r>
      <w:r>
        <w:t xml:space="preserve"> </w:t>
      </w:r>
      <w:r>
        <w:t xml:space="preserve">Digital Realty agreed to buy Blackstone's stake in three fully-leased hyperscale data centers (288 MW) in Northern Virginia. Digital Realty has agreed to purchase a stake in three fully leased data centers containing 288 megawatts of total IT capacity in Northern Virginia at a gross value of $7.8 billion, reflecting an expected initial stabilized capitalization rate of over 6.5%. Total consideration paid to Blackstone for their blended 64% equity interest in the assets will be $3.5 billion, including $1.2 billion of cash and $2.3 billion in shares of Digital Realty. Management called it "expected to be accretive to Core FFO per share in each of 2027 and 2028, as development is completed and rents commence." This closed June 30 — watch for commentary on integration, leverage impact, and how the assumed debt/equity issuance flows through Q2/Q3 guidance.</w:t>
      </w:r>
    </w:p>
    <w:p>
      <w:pPr>
        <w:pStyle w:val="BodyText"/>
      </w:pPr>
      <w:r>
        <w:rPr>
          <w:b/>
          <w:bCs/>
        </w:rPr>
        <w:t xml:space="preserve">2. Blackstone secondary sale (no dilution, but overhang):</w:t>
      </w:r>
      <w:r>
        <w:t xml:space="preserve"> </w:t>
      </w:r>
      <w:r>
        <w:t xml:space="preserve">On July 1, 2026, Blackstone completed an underwritten public offering of 12,310,249 shares of Digital Realty common stock, issued upon conversion of non-voting shares, at a public price of $185.00 per share, with Digital Realty receiving no proceeds from the sale. This is a technical share-count/float event rather than new dilution, but it does reflect Blackstone reducing its DLR equity stake even as the two continue to partner operationally.</w:t>
      </w:r>
    </w:p>
    <w:p>
      <w:pPr>
        <w:pStyle w:val="BodyText"/>
      </w:pPr>
      <w:r>
        <w:rPr>
          <w:b/>
          <w:bCs/>
        </w:rPr>
        <w:t xml:space="preserve">3. Kansas City land, Teraco stake increase, Columbia Capital acquisition:</w:t>
      </w:r>
      <w:r>
        <w:t xml:space="preserve"> </w:t>
      </w:r>
      <w:r>
        <w:t xml:space="preserve">In a single late-June release, DLR announced it acquired approximately 1,440 acres of land at Astra Enterprise Park near Kansas City to support hyperscale data center development for approximately $475 million in cash and common units, with an Energy Service Agreement for 600 megawatts of utility power by early 2028, rising to two gigawatts at full delivery. It also agreed to increase its ownership interest in Teraco, Africa's leading data center platform, to 77% through the acquisition of a 16% stake for approximately $650 million, principally via the issuance of 3.4 million shares of common stock, and to acquire Columbia Capital for approximately $485 million, principally through the issuance of 2.3 million shares of common stock, a private-capital-focused investment firm to bolster its Strategic Private Capital platform. These investments will be principally funded through the issuance of 6.3 million shares of common stock at a weighted average price of $197.54 per share.</w:t>
      </w:r>
    </w:p>
    <w:p>
      <w:pPr>
        <w:pStyle w:val="BodyText"/>
      </w:pPr>
      <w:r>
        <w:rPr>
          <w:b/>
          <w:bCs/>
        </w:rPr>
        <w:t xml:space="preserve">Investor takeaway:</w:t>
      </w:r>
      <w:r>
        <w:t xml:space="preserve"> </w:t>
      </w:r>
      <w:r>
        <w:t xml:space="preserve">DLR has been unusually acquisitive and equity-funded this quarter — new hyperscale land (Kansas City, adding to Atlanta/Charlotte), consolidation of existing high-quality JV assets (NoVA), and platform expansion into private capital management (Columbia Capital) and African colocation (Teraco). This is consistent with the long-running capital-diversification strategy management has articulated, but investors should scrutinize</w:t>
      </w:r>
      <w:r>
        <w:t xml:space="preserve"> </w:t>
      </w:r>
      <w:r>
        <w:rPr>
          <w:b/>
          <w:bCs/>
        </w:rPr>
        <w:t xml:space="preserve">share count dilution, pro forma leverage, and accretion timing</w:t>
      </w:r>
      <w:r>
        <w:t xml:space="preserve"> </w:t>
      </w:r>
      <w:r>
        <w:t xml:space="preserve">on the call — especially since leverage had just hit a multiyear low of 4.7x in Q1 before this wave of debt-and-equity-funded deals.</w:t>
      </w:r>
    </w:p>
    <w:p>
      <w:r>
        <w:pict>
          <v:rect style="width:0;height:1.5pt" o:hralign="center" o:hrstd="t" o:hr="t"/>
        </w:pict>
      </w:r>
    </w:p>
    <w:bookmarkEnd w:id="11"/>
    <w:bookmarkStart w:id="12" w:name="key-metrics-and-questions-for-the-print"/>
    <w:p>
      <w:pPr>
        <w:pStyle w:val="Heading2"/>
      </w:pPr>
      <w:r>
        <w:t xml:space="preserve">Key Metrics and Questions for the Print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Area</w:t>
            </w:r>
          </w:p>
        </w:tc>
        <w:tc>
          <w:tcPr/>
          <w:p>
            <w:pPr>
              <w:pStyle w:val="Compact"/>
            </w:pPr>
            <w:r>
              <w:t xml:space="preserve">Q1 2026 Level</w:t>
            </w:r>
          </w:p>
        </w:tc>
        <w:tc>
          <w:tcPr/>
          <w:p>
            <w:pPr>
              <w:pStyle w:val="Compact"/>
            </w:pPr>
            <w:r>
              <w:t xml:space="preserve">FY26 Guidance</w:t>
            </w:r>
          </w:p>
        </w:tc>
        <w:tc>
          <w:tcPr/>
          <w:p>
            <w:pPr>
              <w:pStyle w:val="Compact"/>
            </w:pPr>
            <w:r>
              <w:t xml:space="preserve">What to Watch</w:t>
            </w:r>
          </w:p>
        </w:tc>
      </w:tr>
      <w:tr>
        <w:tc>
          <w:tcPr/>
          <w:p>
            <w:pPr>
              <w:pStyle w:val="Compact"/>
            </w:pPr>
            <w:r>
              <w:t xml:space="preserve">Core FFO/share</w:t>
            </w:r>
          </w:p>
        </w:tc>
        <w:tc>
          <w:tcPr/>
          <w:p>
            <w:pPr>
              <w:pStyle w:val="Compact"/>
            </w:pPr>
            <w:r>
              <w:t xml:space="preserve">$2.04</w:t>
            </w:r>
          </w:p>
        </w:tc>
        <w:tc>
          <w:tcPr/>
          <w:p>
            <w:pPr>
              <w:pStyle w:val="Compact"/>
            </w:pPr>
            <m:oMath>
              <m:r>
                <m:t>8.00</m:t>
              </m:r>
              <m:r>
                <m:rPr>
                  <m:sty m:val="p"/>
                </m:rPr>
                <m:t>–</m:t>
              </m:r>
            </m:oMath>
            <w:r>
              <w:t xml:space="preserve">8.10 (implies ~9% growth)</w:t>
            </w:r>
          </w:p>
        </w:tc>
        <w:tc>
          <w:tcPr/>
          <w:p>
            <w:pPr>
              <w:pStyle w:val="Compact"/>
            </w:pPr>
            <w:r>
              <w:t xml:space="preserve">Does guidance hold, tighten, or get raised again given Q2 M&amp;A?</w:t>
            </w:r>
          </w:p>
        </w:tc>
      </w:tr>
      <w:tr>
        <w:tc>
          <w:tcPr/>
          <w:p>
            <w:pPr>
              <w:pStyle w:val="Compact"/>
            </w:pPr>
            <w:r>
              <w:t xml:space="preserve">Revenue</w:t>
            </w:r>
          </w:p>
        </w:tc>
        <w:tc>
          <w:tcPr/>
          <w:p>
            <w:pPr>
              <w:pStyle w:val="Compact"/>
            </w:pPr>
            <w:r>
              <w:t xml:space="preserve">$1.64B</w:t>
            </w:r>
          </w:p>
        </w:tc>
        <w:tc>
          <w:tcPr/>
          <w:p>
            <w:pPr>
              <w:pStyle w:val="Compact"/>
            </w:pPr>
            <m:oMath>
              <m:r>
                <m:t>6.65</m:t>
              </m:r>
              <m:r>
                <m:t>B</m:t>
              </m:r>
              <m:r>
                <m:rPr>
                  <m:sty m:val="p"/>
                </m:rPr>
                <m:t>–</m:t>
              </m:r>
            </m:oMath>
            <w:r>
              <w:t xml:space="preserve">6.75B</w:t>
            </w:r>
          </w:p>
        </w:tc>
        <w:tc>
          <w:tcPr/>
          <w:p>
            <w:pPr>
              <w:pStyle w:val="Compact"/>
            </w:pPr>
            <w:r>
              <w:t xml:space="preserve">Consensus ~$1.66B for Q2</w:t>
            </w:r>
          </w:p>
        </w:tc>
      </w:tr>
      <w:tr>
        <w:tc>
          <w:tcPr/>
          <w:p>
            <w:pPr>
              <w:pStyle w:val="Compact"/>
            </w:pPr>
            <w:r>
              <w:t xml:space="preserve">Cash renewal spreads</w:t>
            </w:r>
          </w:p>
        </w:tc>
        <w:tc>
          <w:tcPr/>
          <w:p>
            <w:pPr>
              <w:pStyle w:val="Compact"/>
            </w:pPr>
            <w:r>
              <w:t xml:space="preserve">5.0% (Q1 actual)</w:t>
            </w:r>
          </w:p>
        </w:tc>
        <w:tc>
          <w:tcPr/>
          <w:p>
            <w:pPr>
              <w:pStyle w:val="Compact"/>
            </w:pPr>
            <w:r>
              <w:t xml:space="preserve">6.5%–8.5%</w:t>
            </w:r>
          </w:p>
        </w:tc>
        <w:tc>
          <w:tcPr/>
          <w:p>
            <w:pPr>
              <w:pStyle w:val="Compact"/>
            </w:pPr>
            <w:r>
              <w:t xml:space="preserve">&gt;1MW mark-to-market acceleration expected in H2</w:t>
            </w:r>
          </w:p>
        </w:tc>
      </w:tr>
      <w:tr>
        <w:tc>
          <w:tcPr/>
          <w:p>
            <w:pPr>
              <w:pStyle w:val="Compact"/>
            </w:pPr>
            <w:r>
              <w:t xml:space="preserve">Same-capital cash NOI (constant currency)</w:t>
            </w:r>
          </w:p>
        </w:tc>
        <w:tc>
          <w:tcPr/>
          <w:p>
            <w:pPr>
              <w:pStyle w:val="Compact"/>
            </w:pPr>
            <w:r>
              <w:t xml:space="preserve">2.5%</w:t>
            </w:r>
          </w:p>
        </w:tc>
        <w:tc>
          <w:tcPr/>
          <w:p>
            <w:pPr>
              <w:pStyle w:val="Compact"/>
            </w:pPr>
            <w:r>
              <w:t xml:space="preserve">4.0%–5.0%</w:t>
            </w:r>
          </w:p>
        </w:tc>
        <w:tc>
          <w:tcPr/>
          <w:p>
            <w:pPr>
              <w:pStyle w:val="Compact"/>
            </w:pPr>
            <w:r>
              <w:t xml:space="preserve">Needs to accelerate meaningfully from Q1's soft pace</w:t>
            </w:r>
          </w:p>
        </w:tc>
      </w:tr>
      <w:tr>
        <w:tc>
          <w:tcPr/>
          <w:p>
            <w:pPr>
              <w:pStyle w:val="Compact"/>
            </w:pPr>
            <w:r>
              <w:t xml:space="preserve">Occupancy (power-based)</w:t>
            </w:r>
          </w:p>
        </w:tc>
        <w:tc>
          <w:tcPr/>
          <w:p>
            <w:pPr>
              <w:pStyle w:val="Compact"/>
            </w:pPr>
            <w:r>
              <w:t xml:space="preserve">90.1%</w:t>
            </w:r>
          </w:p>
        </w:tc>
        <w:tc>
          <w:tcPr/>
          <w:p>
            <w:pPr>
              <w:pStyle w:val="Compact"/>
            </w:pPr>
            <w:r>
              <w:t xml:space="preserve">+50–100 bps y/y</w:t>
            </w:r>
          </w:p>
        </w:tc>
        <w:tc>
          <w:tcPr/>
          <w:p>
            <w:pPr>
              <w:pStyle w:val="Compact"/>
            </w:pPr>
            <w:r>
              <w:t xml:space="preserve">Vacancy backfill from pre-leased-but-not-commenced space</w:t>
            </w:r>
          </w:p>
        </w:tc>
      </w:tr>
      <w:tr>
        <w:tc>
          <w:tcPr/>
          <w:p>
            <w:pPr>
              <w:pStyle w:val="Compact"/>
            </w:pPr>
            <w:r>
              <w:t xml:space="preserve">Net debt/Adj. EBITDA</w:t>
            </w:r>
          </w:p>
        </w:tc>
        <w:tc>
          <w:tcPr/>
          <w:p>
            <w:pPr>
              <w:pStyle w:val="Compact"/>
            </w:pPr>
            <w:r>
              <w:t xml:space="preserve">4.7x (multiyear low)</w:t>
            </w:r>
          </w:p>
        </w:tc>
        <w:tc>
          <w:tcPr/>
          <w:p>
            <w:pPr>
              <w:pStyle w:val="Compact"/>
            </w:pPr>
            <w:r>
              <w:t xml:space="preserve">—</w:t>
            </w:r>
          </w:p>
        </w:tc>
        <w:tc>
          <w:tcPr/>
          <w:p>
            <w:pPr>
              <w:pStyle w:val="Compact"/>
            </w:pPr>
            <w:r>
              <w:t xml:space="preserve">Impact of Blackstone NoVA buy-in, Teraco/Columbia deals</w:t>
            </w:r>
          </w:p>
        </w:tc>
      </w:tr>
      <w:tr>
        <w:tc>
          <w:tcPr/>
          <w:p>
            <w:pPr>
              <w:pStyle w:val="Compact"/>
            </w:pPr>
            <w:r>
              <w:t xml:space="preserve">Development pipeline</w:t>
            </w:r>
          </w:p>
        </w:tc>
        <w:tc>
          <w:tcPr/>
          <w:p>
            <w:pPr>
              <w:pStyle w:val="Compact"/>
            </w:pPr>
            <w:r>
              <w:t xml:space="preserve">$16.5B, 61% pre-leased, 1.2GW under construction</w:t>
            </w:r>
          </w:p>
        </w:tc>
        <w:tc>
          <w:tcPr/>
          <w:p>
            <w:pPr>
              <w:pStyle w:val="Compact"/>
            </w:pPr>
            <w:r>
              <w:t xml:space="preserve">CapEx</w:t>
            </w:r>
            <w:r>
              <w:t xml:space="preserve"> </w:t>
            </w:r>
            <m:oMath>
              <m:r>
                <m:t>3.5</m:t>
              </m:r>
              <m:r>
                <m:t>B</m:t>
              </m:r>
              <m:r>
                <m:rPr>
                  <m:sty m:val="p"/>
                </m:rPr>
                <m:t>–</m:t>
              </m:r>
            </m:oMath>
            <w:r>
              <w:t xml:space="preserve">4.0B</w:t>
            </w:r>
          </w:p>
        </w:tc>
        <w:tc>
          <w:tcPr/>
          <w:p>
            <w:pPr>
              <w:pStyle w:val="Compact"/>
            </w:pPr>
            <w:r>
              <w:t xml:space="preserve">Progress on Charlotte Bldg 2, Atlanta 200MW, land bank conversion</w:t>
            </w:r>
          </w:p>
        </w:tc>
      </w:tr>
      <w:tr>
        <w:tc>
          <w:tcPr/>
          <w:p>
            <w:pPr>
              <w:pStyle w:val="Compact"/>
            </w:pPr>
            <w:r>
              <w:t xml:space="preserve">Bookings</w:t>
            </w:r>
          </w:p>
        </w:tc>
        <w:tc>
          <w:tcPr/>
          <w:p>
            <w:pPr>
              <w:pStyle w:val="Compact"/>
            </w:pPr>
            <m:oMath>
              <m:r>
                <m:t>707</m:t>
              </m:r>
              <m:r>
                <m:t>M</m:t>
              </m:r>
              <m:r>
                <m:t>t</m:t>
              </m:r>
              <m:r>
                <m:t>o</m:t>
              </m:r>
              <m:r>
                <m:t>t</m:t>
              </m:r>
              <m:r>
                <m:t>a</m:t>
              </m:r>
              <m:r>
                <m:t>l</m:t>
              </m:r>
              <m:r>
                <m:rPr>
                  <m:sty m:val="p"/>
                </m:rPr>
                <m:t>(</m:t>
              </m:r>
              <m:r>
                <m:t>100</m:t>
              </m:r>
            </m:oMath>
            <w:r>
              <w:t xml:space="preserve">98M)</w:t>
            </w:r>
          </w:p>
        </w:tc>
        <w:tc>
          <w:tcPr/>
          <w:p>
            <w:pPr>
              <w:pStyle w:val="Compact"/>
            </w:pPr>
            <w:r>
              <w:t xml:space="preserve">—</w:t>
            </w:r>
          </w:p>
        </w:tc>
        <w:tc>
          <w:tcPr/>
          <w:p>
            <w:pPr>
              <w:pStyle w:val="Compact"/>
            </w:pPr>
            <w:r>
              <w:t xml:space="preserve">Can 0-1MW momentum and &gt;1MW hyperscale signings continue after a record Q1?</w:t>
            </w:r>
          </w:p>
        </w:tc>
      </w:tr>
    </w:tbl>
    <w:p>
      <w:pPr>
        <w:pStyle w:val="BodyText"/>
      </w:pPr>
      <w:r>
        <w:t xml:space="preserve">Specific questions likely to dominate the Q&amp;A:</w:t>
      </w:r>
    </w:p>
    <w:p>
      <w:pPr>
        <w:pStyle w:val="Compact"/>
        <w:numPr>
          <w:ilvl w:val="0"/>
          <w:numId w:val="1003"/>
        </w:numPr>
      </w:pPr>
      <w:r>
        <w:rPr>
          <w:b/>
          <w:bCs/>
        </w:rPr>
        <w:t xml:space="preserve">Leasing cadence after a record Q1:</w:t>
      </w:r>
      <w:r>
        <w:t xml:space="preserve"> </w:t>
      </w:r>
      <w:r>
        <w:t xml:space="preserve">Bookings were nearly 70% above the third-best quarter ever; can Q2 sustain even a fraction of that pace, or is a "digestion" quarter expected?</w:t>
      </w:r>
    </w:p>
    <w:p>
      <w:pPr>
        <w:pStyle w:val="Compact"/>
        <w:numPr>
          <w:ilvl w:val="0"/>
          <w:numId w:val="1003"/>
        </w:numPr>
      </w:pPr>
      <w:r>
        <w:rPr>
          <w:b/>
          <w:bCs/>
        </w:rPr>
        <w:t xml:space="preserve">Debt issuance execution:</w:t>
      </w:r>
      <w:r>
        <w:t xml:space="preserve"> </w:t>
      </w:r>
      <w:r>
        <w:t xml:space="preserve">Guidance called for</w:t>
      </w:r>
      <w:r>
        <w:t xml:space="preserve"> </w:t>
      </w:r>
      <w:r>
        <w:rPr>
          <w:b/>
          <w:bCs/>
        </w:rPr>
        <w:t xml:space="preserve">$1.5–2.0B of long-term debt issuance mid-year</w:t>
      </w:r>
      <w:r>
        <w:t xml:space="preserve"> </w:t>
      </w:r>
      <w:r>
        <w:t xml:space="preserve">at 4.0%–4.5% pricing — did DLR price this, and at what spread, given the broader rates backdrop?</w:t>
      </w:r>
    </w:p>
    <w:p>
      <w:pPr>
        <w:pStyle w:val="Compact"/>
        <w:numPr>
          <w:ilvl w:val="0"/>
          <w:numId w:val="1003"/>
        </w:numPr>
      </w:pPr>
      <w:r>
        <w:rPr>
          <w:b/>
          <w:bCs/>
        </w:rPr>
        <w:t xml:space="preserve">Capital recycling progress:</w:t>
      </w:r>
      <w:r>
        <w:t xml:space="preserve"> </w:t>
      </w:r>
      <w:r>
        <w:t xml:space="preserve">Guidance calls for</w:t>
      </w:r>
      <w:r>
        <w:t xml:space="preserve"> </w:t>
      </w:r>
      <m:oMath>
        <m:r>
          <m:t>500</m:t>
        </m:r>
        <m:r>
          <m:t>M</m:t>
        </m:r>
        <m:r>
          <m:rPr>
            <m:sty m:val="p"/>
          </m:rPr>
          <m:t>–</m:t>
        </m:r>
      </m:oMath>
      <w:r>
        <w:rPr>
          <w:b/>
          <w:bCs/>
        </w:rPr>
        <w:t xml:space="preserve">1.0B</w:t>
      </w:r>
      <w:r>
        <w:t xml:space="preserve"> </w:t>
      </w:r>
      <w:r>
        <w:t xml:space="preserve">of dispositions/JV capital in 2026 — any updates on timing or partners?</w:t>
      </w:r>
    </w:p>
    <w:p>
      <w:pPr>
        <w:pStyle w:val="Compact"/>
        <w:numPr>
          <w:ilvl w:val="0"/>
          <w:numId w:val="1003"/>
        </w:numPr>
      </w:pPr>
      <w:r>
        <w:rPr>
          <w:b/>
          <w:bCs/>
        </w:rPr>
        <w:t xml:space="preserve">AI mix and pricing power:</w:t>
      </w:r>
      <w:r>
        <w:t xml:space="preserve"> </w:t>
      </w:r>
      <w:r>
        <w:t xml:space="preserve">Management noted 21% of 0-1MW bookings were AI-related in Q1 and flagged accelerating mark-to-market opportunities on legacy &gt;1MW renewals as hyperscaler contract designs evolve (hybrid AI/cloud racks) — is that trend continuing?</w:t>
      </w:r>
    </w:p>
    <w:p>
      <w:pPr>
        <w:pStyle w:val="Compact"/>
        <w:numPr>
          <w:ilvl w:val="0"/>
          <w:numId w:val="1003"/>
        </w:numPr>
      </w:pPr>
      <w:r>
        <w:rPr>
          <w:b/>
          <w:bCs/>
        </w:rPr>
        <w:t xml:space="preserve">Integration and accretion timing</w:t>
      </w:r>
      <w:r>
        <w:t xml:space="preserve"> </w:t>
      </w:r>
      <w:r>
        <w:t xml:space="preserve">on the Blackstone NoVA, Teraco, and Columbia Capital transactions, and their effect on 2026 leverage and share count.</w:t>
      </w:r>
    </w:p>
    <w:p>
      <w:r>
        <w:pict>
          <v:rect style="width:0;height:1.5pt" o:hralign="center" o:hrstd="t" o:hr="t"/>
        </w:pict>
      </w:r>
    </w:p>
    <w:bookmarkEnd w:id="12"/>
    <w:bookmarkStart w:id="13" w:name="sector-and-sentiment-backdrop"/>
    <w:p>
      <w:pPr>
        <w:pStyle w:val="Heading2"/>
      </w:pPr>
      <w:r>
        <w:t xml:space="preserve">Sector and Sentiment Backdrop</w:t>
      </w:r>
    </w:p>
    <w:p>
      <w:pPr>
        <w:pStyle w:val="Compact"/>
        <w:numPr>
          <w:ilvl w:val="0"/>
          <w:numId w:val="1004"/>
        </w:numPr>
      </w:pPr>
      <w:r>
        <w:rPr>
          <w:b/>
          <w:bCs/>
        </w:rPr>
        <w:t xml:space="preserve">Analyst sentiment has been improving even as the stock has fallen:</w:t>
      </w:r>
      <w:r>
        <w:t xml:space="preserve"> </w:t>
      </w:r>
      <w:r>
        <w:t xml:space="preserve">Guggenheim upgraded DLR to Buy (July 10), Bernstein reiterated Buy (July 18), BTIG initiated at Buy (July 1), and Barclays raised its price target to $197 while maintaining a Hold-equivalent rating, citing rising hyperscale and enterprise AI demand across the sector.</w:t>
      </w:r>
    </w:p>
    <w:p>
      <w:pPr>
        <w:pStyle w:val="Compact"/>
        <w:numPr>
          <w:ilvl w:val="0"/>
          <w:numId w:val="1004"/>
        </w:numPr>
      </w:pPr>
      <w:r>
        <w:rPr>
          <w:b/>
          <w:bCs/>
        </w:rPr>
        <w:t xml:space="preserve">Bear case:</w:t>
      </w:r>
      <w:r>
        <w:t xml:space="preserve"> </w:t>
      </w:r>
      <w:r>
        <w:t xml:space="preserve">Some prominent skeptics (e.g., short-seller commentary from Jim Chanos) have questioned the quality and returns of data-center REIT business models broadly, and risk factors cited by sell-side include rising Treasury yields (pressuring REIT valuations/cap rates), refinancing needs, and customer concentration tied to hyperscaler capex cycles.</w:t>
      </w:r>
    </w:p>
    <w:p>
      <w:pPr>
        <w:pStyle w:val="Compact"/>
        <w:numPr>
          <w:ilvl w:val="0"/>
          <w:numId w:val="1004"/>
        </w:numPr>
      </w:pPr>
      <w:r>
        <w:rPr>
          <w:b/>
          <w:bCs/>
        </w:rPr>
        <w:t xml:space="preserve">Peer read-through:</w:t>
      </w:r>
      <w:r>
        <w:t xml:space="preserve"> </w:t>
      </w:r>
      <w:r>
        <w:t xml:space="preserve">Equinix's Q1 2026 print (revenue +10% y/y, record bookings, guidance raised across revenue/EBITDA/AFFO) confirmed that hyperscale and AI-driven colocation demand remains robust industry-wide, reinforcing the demand backdrop DLR should also be benefiting from, even though EQIX's higher-margin interconnection model differs from DLR's more wholesale/hyperscale-weighted mix.</w:t>
      </w:r>
    </w:p>
    <w:p>
      <w:pPr>
        <w:pStyle w:val="Compact"/>
        <w:numPr>
          <w:ilvl w:val="0"/>
          <w:numId w:val="1004"/>
        </w:numPr>
      </w:pPr>
      <w:r>
        <w:rPr>
          <w:b/>
          <w:bCs/>
        </w:rPr>
        <w:t xml:space="preserve">Macro:</w:t>
      </w:r>
      <w:r>
        <w:t xml:space="preserve"> </w:t>
      </w:r>
      <w:r>
        <w:t xml:space="preserve">Hyperscaler capex guidance for 2026 has continued to move higher (widely cited industry figures put combined big-tech capex well above $700B for the year), which is the core secular tailwind for DLR's leasing pipeline, but also raises the bar on supply-chain, power-availability, and community/NIMBY constraints that management flagged repeatedly last quarter as gating factors on delivery timelines.</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Digital Realty enters this print from a position of operating strength (record Q1 bookings, record backlog, raised guidance, multiyear-low leverage) but with a much more complicated capital structure and M&amp;A pipeline than three months ago — the Blackstone NoVA buy-in, Kansas City land entry, Teraco increase, and Columbia Capital acquisition are all funded with a mix of cash, debt, and meaningful new equity issuance. The stock's ~14% drawdown from highs into the print, despite a steady stream of bullish analyst actions, suggests the market is somewhat skeptical about near-term dilution, leverage, and execution risk even as long-term AI/hyperscale demand fundamentals remain intact. The most important things to listen for on the call are: (1) whether full-year Core FFO guidance is reaffirmed or raised again despite the extra deal-related spending, (2) the pace of same-capital cash NOI reacceleration toward the 4–5% full-year target, and (3) clear accretion/leverage math on the quarter's flurry of transactions.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2026-07-23T01:07:14Z</dcterms:created>
  <dcterms:modified xsi:type="dcterms:W3CDTF">2026-07-23T01:07:14Z</dcterms:modified>
</cp:coreProperties>
</file>

<file path=docProps/custom.xml><?xml version="1.0" encoding="utf-8"?>
<Properties xmlns="http://schemas.openxmlformats.org/officeDocument/2006/custom-properties" xmlns:vt="http://schemas.openxmlformats.org/officeDocument/2006/docPropsVTypes"/>
</file>