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lr-earnings-predictions--2026-07-23"/>
    <w:p>
      <w:pPr>
        <w:pStyle w:val="Heading1"/>
      </w:pPr>
      <w:r>
        <w:t xml:space="preserve">DLR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Core FFO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~$2.01 vs. cons $1.98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~$1.67B vs. cons $1.65B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new bookings at DLR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~$285M vs. cons $250M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2026 Core FFO per share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~$8.05 vs. cons $8.06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Constant-currency same-capital cash NOI growth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Cash renewal spread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~7.5% vs. cons 7.5%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+1.1% (FADE)</w:t>
            </w:r>
          </w:p>
        </w:tc>
        <w:tc>
          <w:tcPr/>
          <w:p>
            <w:pPr>
              <w:pStyle w:val="Compact"/>
            </w:pPr>
            <w:r>
              <w:t xml:space="preserve">A modest operating beat and healthy leasing should drive the initial gain, but unchanged FY2026 guidance implies pred ~$8.05 vs. cons $8.06, while higher share count, development carrying costs, and limited 2026 earnings contribution from recent transactions constrain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2026-07-23T01:07:48Z</dcterms:created>
  <dcterms:modified xsi:type="dcterms:W3CDTF">2026-07-23T01:07:48Z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