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digital-realty-dlr-2q26-earnings-preview"/>
    <w:p>
      <w:pPr>
        <w:pStyle w:val="Heading1"/>
      </w:pPr>
      <w:r>
        <w:t xml:space="preserve">Digital Realty (DLR) 2Q26 Earnings Preview</w:t>
      </w:r>
    </w:p>
    <w:p>
      <w:pPr>
        <w:pStyle w:val="BlockText"/>
      </w:pPr>
      <w:r>
        <w:rPr>
          <w:b/>
          <w:bCs/>
        </w:rPr>
        <w:t xml:space="preserve">Timing note:</w:t>
      </w:r>
      <w:r>
        <w:t xml:space="preserve"> </w:t>
      </w:r>
      <w:r>
        <w:t xml:space="preserve">Digital Realty is scheduled to report</w:t>
      </w:r>
      <w:r>
        <w:t xml:space="preserve"> </w:t>
      </w:r>
      <w:r>
        <w:rPr>
          <w:b/>
          <w:bCs/>
        </w:rPr>
        <w:t xml:space="preserve">today, Thursday, July 23, 2026</w:t>
      </w:r>
      <w:r>
        <w:t xml:space="preserve">, after the market closes—not tomorrow. The conference call is scheduled for</w:t>
      </w:r>
      <w:r>
        <w:t xml:space="preserve"> </w:t>
      </w:r>
      <w:r>
        <w:rPr>
          <w:b/>
          <w:bCs/>
        </w:rPr>
        <w:t xml:space="preserve">5:00 p.m. ET</w:t>
      </w:r>
      <w:r>
        <w:t xml:space="preserve">.</w:t>
      </w:r>
    </w:p>
    <w:bookmarkStart w:id="9" w:name="investment-setup"/>
    <w:p>
      <w:pPr>
        <w:pStyle w:val="Heading2"/>
      </w:pPr>
      <w:r>
        <w:t xml:space="preserve">Investment setup</w:t>
      </w:r>
    </w:p>
    <w:p>
      <w:pPr>
        <w:pStyle w:val="FirstParagraph"/>
      </w:pPr>
      <w:r>
        <w:t xml:space="preserve">Digital Realty enters the quarter with exceptionally strong demand and backlog visibility, but also a substantially more complicated capital-allocation story.</w:t>
      </w:r>
    </w:p>
    <w:p>
      <w:pPr>
        <w:pStyle w:val="BodyText"/>
      </w:pPr>
      <w:r>
        <w:t xml:space="preserve">The operating thesis remains attractive: AI inference, cloud growth, and enterprise deployments are driving demand across both hyperscale capacity and DLR’s higher-return colocation and interconnection platform. First-quarter bookings were extraordinary, the development pipeline expanded sharply, and leverage fell to a multiyear low.</w:t>
      </w:r>
    </w:p>
    <w:p>
      <w:pPr>
        <w:pStyle w:val="BodyText"/>
      </w:pPr>
      <w:r>
        <w:t xml:space="preserve">The debate going into the report is whether that operating momentum can outweigh:</w:t>
      </w:r>
    </w:p>
    <w:p>
      <w:pPr>
        <w:pStyle w:val="Compact"/>
        <w:numPr>
          <w:ilvl w:val="0"/>
          <w:numId w:val="1001"/>
        </w:numPr>
      </w:pPr>
      <w:r>
        <w:t xml:space="preserve">Difficult comparisons following a record 1Q leasing result.</w:t>
      </w:r>
    </w:p>
    <w:p>
      <w:pPr>
        <w:pStyle w:val="Compact"/>
        <w:numPr>
          <w:ilvl w:val="0"/>
          <w:numId w:val="1001"/>
        </w:numPr>
      </w:pPr>
      <w:r>
        <w:t xml:space="preserve">Heavy development spending and a longer lag between lease signing and revenue commencement.</w:t>
      </w:r>
    </w:p>
    <w:p>
      <w:pPr>
        <w:pStyle w:val="Compact"/>
        <w:numPr>
          <w:ilvl w:val="0"/>
          <w:numId w:val="1001"/>
        </w:numPr>
      </w:pPr>
      <w:r>
        <w:t xml:space="preserve">Significant recent equity issuance.</w:t>
      </w:r>
    </w:p>
    <w:p>
      <w:pPr>
        <w:pStyle w:val="Compact"/>
        <w:numPr>
          <w:ilvl w:val="0"/>
          <w:numId w:val="1001"/>
        </w:numPr>
      </w:pPr>
      <w:r>
        <w:t xml:space="preserve">A large purchase of Blackstone’s interests in three Northern Virginia developments.</w:t>
      </w:r>
    </w:p>
    <w:p>
      <w:pPr>
        <w:pStyle w:val="Compact"/>
        <w:numPr>
          <w:ilvl w:val="0"/>
          <w:numId w:val="1001"/>
        </w:numPr>
      </w:pPr>
      <w:r>
        <w:t xml:space="preserve">Execution and funding requirements associated with an expanding land and power pipeline.</w:t>
      </w:r>
    </w:p>
    <w:p>
      <w:pPr>
        <w:pStyle w:val="FirstParagraph"/>
      </w:pPr>
      <w:r>
        <w:t xml:space="preserve">The most important information may therefore come from</w:t>
      </w:r>
      <w:r>
        <w:t xml:space="preserve"> </w:t>
      </w:r>
      <w:r>
        <w:rPr>
          <w:b/>
          <w:bCs/>
        </w:rPr>
        <w:t xml:space="preserve">leasing, backlog conversion, guidance, and financing commentary</w:t>
      </w:r>
      <w:r>
        <w:t xml:space="preserve">, rather than the headline quarterly earnings number alone.</w:t>
      </w:r>
    </w:p>
    <w:p>
      <w:r>
        <w:pict>
          <v:rect style="width:0;height:1.5pt" o:hralign="center" o:hrstd="t" o:hr="t"/>
        </w:pict>
      </w:r>
    </w:p>
    <w:bookmarkEnd w:id="9"/>
    <w:bookmarkStart w:id="10" w:name="key-figures-entering-the-report"/>
    <w:p>
      <w:pPr>
        <w:pStyle w:val="Heading2"/>
      </w:pPr>
      <w:r>
        <w:t xml:space="preserve">Key figures entering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 / current outlook</w:t>
            </w:r>
          </w:p>
        </w:tc>
        <w:tc>
          <w:tcPr/>
          <w:p>
            <w:pPr>
              <w:pStyle w:val="Compact"/>
            </w:pPr>
            <w:r>
              <w:t xml:space="preserve">What matters in 2Q</w:t>
            </w:r>
          </w:p>
        </w:tc>
      </w:tr>
      <w:tr>
        <w:tc>
          <w:tcPr/>
          <w:p>
            <w:pPr>
              <w:pStyle w:val="Compact"/>
            </w:pPr>
            <w:r>
              <w:t xml:space="preserve">Core FFO per share</w:t>
            </w:r>
          </w:p>
        </w:tc>
        <w:tc>
          <w:tcPr/>
          <w:p>
            <w:pPr>
              <w:pStyle w:val="Compact"/>
              <w:jc w:val="right"/>
            </w:pPr>
            <w:r>
              <w:rPr>
                <w:b/>
                <w:bCs/>
              </w:rPr>
              <w:t xml:space="preserve">$2.04</w:t>
            </w:r>
          </w:p>
        </w:tc>
        <w:tc>
          <w:tcPr/>
          <w:p>
            <w:pPr>
              <w:pStyle w:val="Compact"/>
            </w:pPr>
            <w:r>
              <w:t xml:space="preserve">Management previously indicated a sequential step-down in 2Q</w:t>
            </w:r>
          </w:p>
        </w:tc>
      </w:tr>
      <w:tr>
        <w:tc>
          <w:tcPr/>
          <w:p>
            <w:pPr>
              <w:pStyle w:val="Compact"/>
            </w:pPr>
            <w:r>
              <w:t xml:space="preserve">2026 Core FFO guidance</w:t>
            </w:r>
          </w:p>
        </w:tc>
        <w:tc>
          <w:tcPr/>
          <w:p>
            <w:pPr>
              <w:pStyle w:val="Compact"/>
              <w:jc w:val="right"/>
            </w:pPr>
            <m:oMath>
              <m:r>
                <m:t>8.00</m:t>
              </m:r>
              <m:r>
                <m:rPr>
                  <m:sty m:val="p"/>
                </m:rPr>
                <m:t>–</m:t>
              </m:r>
            </m:oMath>
            <w:r>
              <w:rPr>
                <w:b/>
                <w:bCs/>
              </w:rPr>
              <w:t xml:space="preserve">8.10</w:t>
            </w:r>
          </w:p>
        </w:tc>
        <w:tc>
          <w:tcPr/>
          <w:p>
            <w:pPr>
              <w:pStyle w:val="Compact"/>
            </w:pPr>
            <w:r>
              <w:t xml:space="preserve">Reaffirmation versus another increase; treatment of recent transactions</w:t>
            </w:r>
          </w:p>
        </w:tc>
      </w:tr>
      <w:tr>
        <w:tc>
          <w:tcPr/>
          <w:p>
            <w:pPr>
              <w:pStyle w:val="Compact"/>
            </w:pPr>
            <w:r>
              <w:t xml:space="preserve">Revenue</w:t>
            </w:r>
          </w:p>
        </w:tc>
        <w:tc>
          <w:tcPr/>
          <w:p>
            <w:pPr>
              <w:pStyle w:val="Compact"/>
              <w:jc w:val="right"/>
            </w:pPr>
            <w:r>
              <w:rPr>
                <w:b/>
                <w:bCs/>
              </w:rPr>
              <w:t xml:space="preserve">$1.64B</w:t>
            </w:r>
          </w:p>
        </w:tc>
        <w:tc>
          <w:tcPr/>
          <w:p>
            <w:pPr>
              <w:pStyle w:val="Compact"/>
            </w:pPr>
            <w:r>
              <w:t xml:space="preserve">Commencements and underlying rental growth</w:t>
            </w:r>
          </w:p>
        </w:tc>
      </w:tr>
      <w:tr>
        <w:tc>
          <w:tcPr/>
          <w:p>
            <w:pPr>
              <w:pStyle w:val="Compact"/>
            </w:pPr>
            <w:r>
              <w:t xml:space="preserve">Adjusted EBITDA</w:t>
            </w:r>
          </w:p>
        </w:tc>
        <w:tc>
          <w:tcPr/>
          <w:p>
            <w:pPr>
              <w:pStyle w:val="Compact"/>
              <w:jc w:val="right"/>
            </w:pPr>
            <w:r>
              <w:rPr>
                <w:b/>
                <w:bCs/>
              </w:rPr>
              <w:t xml:space="preserve">$920M</w:t>
            </w:r>
          </w:p>
        </w:tc>
        <w:tc>
          <w:tcPr/>
          <w:p>
            <w:pPr>
              <w:pStyle w:val="Compact"/>
            </w:pPr>
            <w:r>
              <w:t xml:space="preserve">Operating expense trajectory and contribution from backlog</w:t>
            </w:r>
          </w:p>
        </w:tc>
      </w:tr>
      <w:tr>
        <w:tc>
          <w:tcPr/>
          <w:p>
            <w:pPr>
              <w:pStyle w:val="Compact"/>
            </w:pPr>
            <w:r>
              <w:t xml:space="preserve">New bookings, DLR share</w:t>
            </w:r>
          </w:p>
        </w:tc>
        <w:tc>
          <w:tcPr/>
          <w:p>
            <w:pPr>
              <w:pStyle w:val="Compact"/>
              <w:jc w:val="right"/>
            </w:pPr>
            <w:r>
              <w:rPr>
                <w:b/>
                <w:bCs/>
              </w:rPr>
              <w:t xml:space="preserve">$423M</w:t>
            </w:r>
          </w:p>
        </w:tc>
        <w:tc>
          <w:tcPr/>
          <w:p>
            <w:pPr>
              <w:pStyle w:val="Compact"/>
            </w:pPr>
            <w:r>
              <w:t xml:space="preserve">Sustainability after the record 200 MW lease</w:t>
            </w:r>
          </w:p>
        </w:tc>
      </w:tr>
      <w:tr>
        <w:tc>
          <w:tcPr/>
          <w:p>
            <w:pPr>
              <w:pStyle w:val="Compact"/>
            </w:pPr>
            <w:r>
              <w:t xml:space="preserve">0–1 MW + interconnection bookings</w:t>
            </w:r>
          </w:p>
        </w:tc>
        <w:tc>
          <w:tcPr/>
          <w:p>
            <w:pPr>
              <w:pStyle w:val="Compact"/>
              <w:jc w:val="right"/>
            </w:pPr>
            <w:r>
              <w:rPr>
                <w:b/>
                <w:bCs/>
              </w:rPr>
              <w:t xml:space="preserve">$98M</w:t>
            </w:r>
          </w:p>
        </w:tc>
        <w:tc>
          <w:tcPr/>
          <w:p>
            <w:pPr>
              <w:pStyle w:val="Compact"/>
            </w:pPr>
            <w:r>
              <w:t xml:space="preserve">Best measure of broad-based platform demand</w:t>
            </w:r>
          </w:p>
        </w:tc>
      </w:tr>
      <w:tr>
        <w:tc>
          <w:tcPr/>
          <w:p>
            <w:pPr>
              <w:pStyle w:val="Compact"/>
            </w:pPr>
            <w:r>
              <w:t xml:space="preserve">Backlog, DLR share</w:t>
            </w:r>
          </w:p>
        </w:tc>
        <w:tc>
          <w:tcPr/>
          <w:p>
            <w:pPr>
              <w:pStyle w:val="Compact"/>
              <w:jc w:val="right"/>
            </w:pPr>
            <w:r>
              <w:rPr>
                <w:b/>
                <w:bCs/>
              </w:rPr>
              <w:t xml:space="preserve">$1.0B</w:t>
            </w:r>
          </w:p>
        </w:tc>
        <w:tc>
          <w:tcPr/>
          <w:p>
            <w:pPr>
              <w:pStyle w:val="Compact"/>
            </w:pPr>
            <w:r>
              <w:t xml:space="preserve">Growth after commencements and new signings</w:t>
            </w:r>
          </w:p>
        </w:tc>
      </w:tr>
      <w:tr>
        <w:tc>
          <w:tcPr/>
          <w:p>
            <w:pPr>
              <w:pStyle w:val="Compact"/>
            </w:pPr>
            <w:r>
              <w:t xml:space="preserve">Portfolio occupancy</w:t>
            </w:r>
          </w:p>
        </w:tc>
        <w:tc>
          <w:tcPr/>
          <w:p>
            <w:pPr>
              <w:pStyle w:val="Compact"/>
              <w:jc w:val="right"/>
            </w:pPr>
            <w:r>
              <w:rPr>
                <w:b/>
                <w:bCs/>
              </w:rPr>
              <w:t xml:space="preserve">90.1%</w:t>
            </w:r>
          </w:p>
        </w:tc>
        <w:tc>
          <w:tcPr/>
          <w:p>
            <w:pPr>
              <w:pStyle w:val="Compact"/>
            </w:pPr>
            <w:r>
              <w:t xml:space="preserve">Progress toward 50–100 bps of full-year improvement</w:t>
            </w:r>
          </w:p>
        </w:tc>
      </w:tr>
      <w:tr>
        <w:tc>
          <w:tcPr/>
          <w:p>
            <w:pPr>
              <w:pStyle w:val="Compact"/>
            </w:pPr>
            <w:r>
              <w:t xml:space="preserve">Same-capital cash NOI growth, constant currency</w:t>
            </w:r>
          </w:p>
        </w:tc>
        <w:tc>
          <w:tcPr/>
          <w:p>
            <w:pPr>
              <w:pStyle w:val="Compact"/>
              <w:jc w:val="right"/>
            </w:pPr>
            <w:r>
              <w:rPr>
                <w:b/>
                <w:bCs/>
              </w:rPr>
              <w:t xml:space="preserve">2.5%</w:t>
            </w:r>
          </w:p>
        </w:tc>
        <w:tc>
          <w:tcPr/>
          <w:p>
            <w:pPr>
              <w:pStyle w:val="Compact"/>
            </w:pPr>
            <w:r>
              <w:t xml:space="preserve">Must accelerate to support the</w:t>
            </w:r>
            <w:r>
              <w:t xml:space="preserve"> </w:t>
            </w:r>
            <w:r>
              <w:rPr>
                <w:b/>
                <w:bCs/>
              </w:rPr>
              <w:t xml:space="preserve">4%–5%</w:t>
            </w:r>
            <w:r>
              <w:t xml:space="preserve"> </w:t>
            </w:r>
            <w:r>
              <w:t xml:space="preserve">annual guide</w:t>
            </w:r>
          </w:p>
        </w:tc>
      </w:tr>
      <w:tr>
        <w:tc>
          <w:tcPr/>
          <w:p>
            <w:pPr>
              <w:pStyle w:val="Compact"/>
            </w:pPr>
            <w:r>
              <w:t xml:space="preserve">Cash renewal spread</w:t>
            </w:r>
          </w:p>
        </w:tc>
        <w:tc>
          <w:tcPr/>
          <w:p>
            <w:pPr>
              <w:pStyle w:val="Compact"/>
              <w:jc w:val="right"/>
            </w:pPr>
            <w:r>
              <w:rPr>
                <w:b/>
                <w:bCs/>
              </w:rPr>
              <w:t xml:space="preserve">5.0%</w:t>
            </w:r>
          </w:p>
        </w:tc>
        <w:tc>
          <w:tcPr/>
          <w:p>
            <w:pPr>
              <w:pStyle w:val="Compact"/>
            </w:pPr>
            <w:r>
              <w:t xml:space="preserve">Progress toward the</w:t>
            </w:r>
            <w:r>
              <w:t xml:space="preserve"> </w:t>
            </w:r>
            <w:r>
              <w:rPr>
                <w:b/>
                <w:bCs/>
              </w:rPr>
              <w:t xml:space="preserve">6.5%–8.5%</w:t>
            </w:r>
            <w:r>
              <w:t xml:space="preserve"> </w:t>
            </w:r>
            <w:r>
              <w:t xml:space="preserve">full-year guide</w:t>
            </w:r>
          </w:p>
        </w:tc>
      </w:tr>
      <w:tr>
        <w:tc>
          <w:tcPr/>
          <w:p>
            <w:pPr>
              <w:pStyle w:val="Compact"/>
            </w:pPr>
            <w:r>
              <w:t xml:space="preserve">Net debt / adjusted EBITDA</w:t>
            </w:r>
          </w:p>
        </w:tc>
        <w:tc>
          <w:tcPr/>
          <w:p>
            <w:pPr>
              <w:pStyle w:val="Compact"/>
              <w:jc w:val="right"/>
            </w:pPr>
            <w:r>
              <w:rPr>
                <w:b/>
                <w:bCs/>
              </w:rPr>
              <w:t xml:space="preserve">4.7x</w:t>
            </w:r>
          </w:p>
        </w:tc>
        <w:tc>
          <w:tcPr/>
          <w:p>
            <w:pPr>
              <w:pStyle w:val="Compact"/>
            </w:pPr>
            <w:r>
              <w:t xml:space="preserve">Impact of acquisitions, cash spending, and equity issuance</w:t>
            </w:r>
          </w:p>
        </w:tc>
      </w:tr>
      <w:tr>
        <w:tc>
          <w:tcPr/>
          <w:p>
            <w:pPr>
              <w:pStyle w:val="Compact"/>
            </w:pPr>
            <w:r>
              <w:t xml:space="preserve">2026 net development capex guide</w:t>
            </w:r>
          </w:p>
        </w:tc>
        <w:tc>
          <w:tcPr/>
          <w:p>
            <w:pPr>
              <w:pStyle w:val="Compact"/>
              <w:jc w:val="right"/>
            </w:pPr>
            <m:oMath>
              <m:r>
                <m:t>3.5</m:t>
              </m:r>
              <m:r>
                <m:t>B</m:t>
              </m:r>
              <m:r>
                <m:rPr>
                  <m:sty m:val="p"/>
                </m:rPr>
                <m:t>–</m:t>
              </m:r>
            </m:oMath>
            <w:r>
              <w:rPr>
                <w:b/>
                <w:bCs/>
              </w:rPr>
              <w:t xml:space="preserve">4.0B</w:t>
            </w:r>
          </w:p>
        </w:tc>
        <w:tc>
          <w:tcPr/>
          <w:p>
            <w:pPr>
              <w:pStyle w:val="Compact"/>
            </w:pPr>
            <w:r>
              <w:t xml:space="preserve">Any increase and the funding mix</w:t>
            </w:r>
          </w:p>
        </w:tc>
      </w:tr>
      <w:tr>
        <w:tc>
          <w:tcPr/>
          <w:p>
            <w:pPr>
              <w:pStyle w:val="Compact"/>
            </w:pPr>
            <w:r>
              <w:t xml:space="preserve">Development under construction</w:t>
            </w:r>
          </w:p>
        </w:tc>
        <w:tc>
          <w:tcPr/>
          <w:p>
            <w:pPr>
              <w:pStyle w:val="Compact"/>
              <w:jc w:val="right"/>
            </w:pPr>
            <w:r>
              <w:rPr>
                <w:b/>
                <w:bCs/>
              </w:rPr>
              <w:t xml:space="preserve">1.17 GW</w:t>
            </w:r>
            <w:r>
              <w:t xml:space="preserve">, 61% pre-leased</w:t>
            </w:r>
          </w:p>
        </w:tc>
        <w:tc>
          <w:tcPr/>
          <w:p>
            <w:pPr>
              <w:pStyle w:val="Compact"/>
            </w:pPr>
            <w:r>
              <w:t xml:space="preserve">Delivery timing, cost inflation, and expected yields</w:t>
            </w:r>
          </w:p>
        </w:tc>
      </w:tr>
    </w:tbl>
    <w:p>
      <w:r>
        <w:pict>
          <v:rect style="width:0;height:1.5pt" o:hralign="center" o:hrstd="t" o:hr="t"/>
        </w:pict>
      </w:r>
    </w:p>
    <w:bookmarkEnd w:id="10"/>
    <w:bookmarkStart w:id="11" w:name="X795dbb5c2bb5d15bd7acd288bfd1b6a5080030b"/>
    <w:p>
      <w:pPr>
        <w:pStyle w:val="Heading2"/>
      </w:pPr>
      <w:r>
        <w:t xml:space="preserve">1. Leasing will be judged on quality, not on matching 1Q</w:t>
      </w:r>
    </w:p>
    <w:p>
      <w:pPr>
        <w:pStyle w:val="FirstParagraph"/>
      </w:pPr>
      <w:r>
        <w:t xml:space="preserve">Digital Realty signed</w:t>
      </w:r>
      <w:r>
        <w:t xml:space="preserve"> </w:t>
      </w:r>
      <m:oMath>
        <m:r>
          <m:t>707</m:t>
        </m:r>
        <m:r>
          <m:t>m</m:t>
        </m:r>
        <m:r>
          <m:t>i</m:t>
        </m:r>
        <m:r>
          <m:t>l</m:t>
        </m:r>
        <m:r>
          <m:t>l</m:t>
        </m:r>
        <m:r>
          <m:t>i</m:t>
        </m:r>
        <m:r>
          <m:t>o</m:t>
        </m:r>
        <m:r>
          <m:t>n</m:t>
        </m:r>
        <m:r>
          <m:t>o</m:t>
        </m:r>
        <m:r>
          <m:t>f</m:t>
        </m:r>
        <m:r>
          <m:t>a</m:t>
        </m:r>
        <m:r>
          <m:t>n</m:t>
        </m:r>
        <m:r>
          <m:t>n</m:t>
        </m:r>
        <m:r>
          <m:t>u</m:t>
        </m:r>
        <m:r>
          <m:t>a</m:t>
        </m:r>
        <m:r>
          <m:t>l</m:t>
        </m:r>
        <m:r>
          <m:t>i</m:t>
        </m:r>
        <m:r>
          <m:t>z</m:t>
        </m:r>
        <m:r>
          <m:t>e</m:t>
        </m:r>
        <m:r>
          <m:t>d</m:t>
        </m:r>
        <m:r>
          <m:t>G</m:t>
        </m:r>
        <m:r>
          <m:t>A</m:t>
        </m:r>
        <m:r>
          <m:t>A</m:t>
        </m:r>
        <m:r>
          <m:t>P</m:t>
        </m:r>
        <m:r>
          <m:t>r</m:t>
        </m:r>
        <m:r>
          <m:t>e</m:t>
        </m:r>
        <m:r>
          <m:t>n</m:t>
        </m:r>
        <m:r>
          <m:t>t</m:t>
        </m:r>
        <m:r>
          <m:t>a</m:t>
        </m:r>
        <m:r>
          <m:t>t</m:t>
        </m:r>
        <m:r>
          <m:t>100</m:t>
        </m:r>
      </m:oMath>
      <w:r>
        <w:rPr>
          <w:b/>
          <w:bCs/>
        </w:rPr>
        <w:t xml:space="preserve">423 million at DLR’s share</w:t>
      </w:r>
      <w:r>
        <w:t xml:space="preserve">. That included the largest lease in company history: a</w:t>
      </w:r>
      <w:r>
        <w:t xml:space="preserve"> </w:t>
      </w:r>
      <w:r>
        <w:rPr>
          <w:b/>
          <w:bCs/>
        </w:rPr>
        <w:t xml:space="preserve">200 MW AI-inference deployment in Charlotte</w:t>
      </w:r>
      <w:r>
        <w:t xml:space="preserve">.</w:t>
      </w:r>
    </w:p>
    <w:p>
      <w:pPr>
        <w:pStyle w:val="BodyText"/>
      </w:pPr>
      <w:r>
        <w:t xml:space="preserve">A sequential decline in total bookings should be expected and would not, by itself, indicate weakening demand. The relevant questions are:</w:t>
      </w:r>
    </w:p>
    <w:p>
      <w:pPr>
        <w:numPr>
          <w:ilvl w:val="0"/>
          <w:numId w:val="1002"/>
        </w:numPr>
      </w:pPr>
      <w:r>
        <w:rPr>
          <w:b/>
          <w:bCs/>
        </w:rPr>
        <w:t xml:space="preserve">Did 0–1 MW and interconnection activity remain strong?</w:t>
      </w:r>
      <w:r>
        <w:br/>
      </w:r>
      <w:r>
        <w:t xml:space="preserve">This category reached a record $98 million in 1Q and is more diversified than hyperscale leasing. Continued strength would show that DLR is benefiting from enterprise AI, hybrid cloud, and distributed inference—not merely a few exceptionally large leases.</w:t>
      </w:r>
    </w:p>
    <w:p>
      <w:pPr>
        <w:numPr>
          <w:ilvl w:val="0"/>
          <w:numId w:val="1002"/>
        </w:numPr>
      </w:pPr>
      <w:r>
        <w:rPr>
          <w:b/>
          <w:bCs/>
        </w:rPr>
        <w:t xml:space="preserve">Were large bookings diversified by customer and market?</w:t>
      </w:r>
      <w:r>
        <w:br/>
      </w:r>
      <w:r>
        <w:t xml:space="preserve">Investors should look for leasing beyond Charlotte and Northern Virginia, particularly in Dallas, Atlanta, São Paulo, Frankfurt, Tokyo, and other markets where DLR has positioned capacity.</w:t>
      </w:r>
    </w:p>
    <w:p>
      <w:pPr>
        <w:numPr>
          <w:ilvl w:val="0"/>
          <w:numId w:val="1002"/>
        </w:numPr>
      </w:pPr>
      <w:r>
        <w:rPr>
          <w:b/>
          <w:bCs/>
        </w:rPr>
        <w:t xml:space="preserve">Did pricing and lease terms remain attractive?</w:t>
      </w:r>
      <w:r>
        <w:br/>
      </w:r>
      <w:r>
        <w:t xml:space="preserve">First-quarter greater-than-1-MW pricing averaged $181 per kW. Management also described large hyperscale contracts as generally around 15 years, with roughly 3% or higher annual escalators in some cases.</w:t>
      </w:r>
    </w:p>
    <w:p>
      <w:pPr>
        <w:numPr>
          <w:ilvl w:val="0"/>
          <w:numId w:val="1002"/>
        </w:numPr>
      </w:pPr>
      <w:r>
        <w:rPr>
          <w:b/>
          <w:bCs/>
        </w:rPr>
        <w:t xml:space="preserve">Is demand turning into executable, powered capacity?</w:t>
      </w:r>
      <w:r>
        <w:br/>
      </w:r>
      <w:r>
        <w:t xml:space="preserve">Industry demand is not the constraint; access to power, equipment, skilled labor, and permits is. Contracted demand is most valuable when DLR can deliver on schedule without sacrificing returns.</w:t>
      </w:r>
    </w:p>
    <w:p>
      <w:pPr>
        <w:pStyle w:val="FirstParagraph"/>
      </w:pPr>
      <w:r>
        <w:t xml:space="preserve">A bookings result materially below 1Q can still be healthy. A more concerning outcome would be weak 0–1 MW leasing, softer pricing, lower pre-leasing, or evidence that customers are delaying commitments.</w:t>
      </w:r>
    </w:p>
    <w:p>
      <w:r>
        <w:pict>
          <v:rect style="width:0;height:1.5pt" o:hralign="center" o:hrstd="t" o:hr="t"/>
        </w:pict>
      </w:r>
    </w:p>
    <w:bookmarkEnd w:id="11"/>
    <w:bookmarkStart w:id="12" w:name="Xb6f3f74f14ebec7fd2a5b595bd294257f3186c8"/>
    <w:p>
      <w:pPr>
        <w:pStyle w:val="Heading2"/>
      </w:pPr>
      <w:r>
        <w:t xml:space="preserve">2. Backlog conversion is the near-term earnings engine</w:t>
      </w:r>
    </w:p>
    <w:p>
      <w:pPr>
        <w:pStyle w:val="FirstParagraph"/>
      </w:pPr>
      <w:r>
        <w:t xml:space="preserve">DLR ended 1Q with a record</w:t>
      </w:r>
      <w:r>
        <w:t xml:space="preserve"> </w:t>
      </w:r>
      <w:r>
        <w:rPr>
          <w:b/>
          <w:bCs/>
        </w:rPr>
        <w:t xml:space="preserve">$1.8 billion backlog at 100% share and $1.0 billion at DLR’s share</w:t>
      </w:r>
      <w:r>
        <w:t xml:space="preserve">. Management said $544 million of annualized rent was scheduled to commence during the remainder of 2026, with another $247 million in 2027 and $242 million in 2028 and beyond.</w:t>
      </w:r>
    </w:p>
    <w:p>
      <w:pPr>
        <w:pStyle w:val="BodyText"/>
      </w:pPr>
      <w:r>
        <w:t xml:space="preserve">That backlog provides unusually strong revenue visibility, but it also creates two execution risks:</w:t>
      </w:r>
    </w:p>
    <w:p>
      <w:pPr>
        <w:pStyle w:val="Compact"/>
        <w:numPr>
          <w:ilvl w:val="0"/>
          <w:numId w:val="1003"/>
        </w:numPr>
      </w:pPr>
      <w:r>
        <w:t xml:space="preserve">Projects must be delivered and commissioned on time.</w:t>
      </w:r>
    </w:p>
    <w:p>
      <w:pPr>
        <w:pStyle w:val="Compact"/>
        <w:numPr>
          <w:ilvl w:val="0"/>
          <w:numId w:val="1003"/>
        </w:numPr>
      </w:pPr>
      <w:r>
        <w:t xml:space="preserve">Revenue recognition can lag signing substantially; the weighted-average lag for 1Q bookings was</w:t>
      </w:r>
      <w:r>
        <w:t xml:space="preserve"> </w:t>
      </w:r>
      <w:r>
        <w:rPr>
          <w:b/>
          <w:bCs/>
        </w:rPr>
        <w:t xml:space="preserve">19 months</w:t>
      </w:r>
      <w:r>
        <w:t xml:space="preserve">, largely because of the Charlotte lease.</w:t>
      </w:r>
    </w:p>
    <w:p>
      <w:pPr>
        <w:pStyle w:val="FirstParagraph"/>
      </w:pPr>
      <w:r>
        <w:t xml:space="preserve">The 2Q supplement should show:</w:t>
      </w:r>
    </w:p>
    <w:p>
      <w:pPr>
        <w:pStyle w:val="Compact"/>
        <w:numPr>
          <w:ilvl w:val="0"/>
          <w:numId w:val="1004"/>
        </w:numPr>
      </w:pPr>
      <w:r>
        <w:t xml:space="preserve">Backlog added through new leasing.</w:t>
      </w:r>
    </w:p>
    <w:p>
      <w:pPr>
        <w:pStyle w:val="Compact"/>
        <w:numPr>
          <w:ilvl w:val="0"/>
          <w:numId w:val="1004"/>
        </w:numPr>
      </w:pPr>
      <w:r>
        <w:t xml:space="preserve">Backlog removed through commencements.</w:t>
      </w:r>
    </w:p>
    <w:p>
      <w:pPr>
        <w:pStyle w:val="Compact"/>
        <w:numPr>
          <w:ilvl w:val="0"/>
          <w:numId w:val="1004"/>
        </w:numPr>
      </w:pPr>
      <w:r>
        <w:t xml:space="preserve">Any shift in expected commencement dates.</w:t>
      </w:r>
    </w:p>
    <w:p>
      <w:pPr>
        <w:pStyle w:val="Compact"/>
        <w:numPr>
          <w:ilvl w:val="0"/>
          <w:numId w:val="1004"/>
        </w:numPr>
      </w:pPr>
      <w:r>
        <w:t xml:space="preserve">Remaining construction costs associated with contracted capacity.</w:t>
      </w:r>
    </w:p>
    <w:p>
      <w:pPr>
        <w:pStyle w:val="Compact"/>
        <w:numPr>
          <w:ilvl w:val="0"/>
          <w:numId w:val="1004"/>
        </w:numPr>
      </w:pPr>
      <w:r>
        <w:t xml:space="preserve">Whether the backlog is becoming more or less concentrated in a few hyperscale customers.</w:t>
      </w:r>
    </w:p>
    <w:p>
      <w:pPr>
        <w:pStyle w:val="FirstParagraph"/>
      </w:pPr>
      <w:r>
        <w:t xml:space="preserve">A quarter in which backlog declines because high-quality leases commence is constructive. A decline caused by cancellations or delivery delays would be materially different.</w:t>
      </w:r>
    </w:p>
    <w:p>
      <w:r>
        <w:pict>
          <v:rect style="width:0;height:1.5pt" o:hralign="center" o:hrstd="t" o:hr="t"/>
        </w:pict>
      </w:r>
    </w:p>
    <w:bookmarkEnd w:id="12"/>
    <w:bookmarkStart w:id="13" w:name="X0c085fedbf38f558533aad9a8d2e3402f796a79"/>
    <w:p>
      <w:pPr>
        <w:pStyle w:val="Heading2"/>
      </w:pPr>
      <w:r>
        <w:t xml:space="preserve">3. Same-capital growth needs to accelerate</w:t>
      </w:r>
    </w:p>
    <w:p>
      <w:pPr>
        <w:pStyle w:val="FirstParagraph"/>
      </w:pPr>
      <w:r>
        <w:t xml:space="preserve">Constant-currency same-capital cash NOI increased only</w:t>
      </w:r>
      <w:r>
        <w:t xml:space="preserve"> </w:t>
      </w:r>
      <w:r>
        <w:rPr>
          <w:b/>
          <w:bCs/>
        </w:rPr>
        <w:t xml:space="preserve">2.5%</w:t>
      </w:r>
      <w:r>
        <w:t xml:space="preserve"> </w:t>
      </w:r>
      <w:r>
        <w:t xml:space="preserve">in 1Q, below the full-year target of</w:t>
      </w:r>
      <w:r>
        <w:t xml:space="preserve"> </w:t>
      </w:r>
      <w:r>
        <w:rPr>
          <w:b/>
          <w:bCs/>
        </w:rPr>
        <w:t xml:space="preserve">4%–5%</w:t>
      </w:r>
      <w:r>
        <w:t xml:space="preserve">. Management attributed the result primarily to an unusually favorable expense comparison in the prior year and said growth should accelerate over the next three quarters.</w:t>
      </w:r>
    </w:p>
    <w:p>
      <w:pPr>
        <w:pStyle w:val="BodyText"/>
      </w:pPr>
      <w:r>
        <w:t xml:space="preserve">Second-quarter same-capital growth is consequently an important credibility check.</w:t>
      </w:r>
    </w:p>
    <w:p>
      <w:pPr>
        <w:pStyle w:val="BodyText"/>
      </w:pPr>
      <w:r>
        <w:t xml:space="preserve">Investors should monitor:</w:t>
      </w:r>
    </w:p>
    <w:p>
      <w:pPr>
        <w:pStyle w:val="Compact"/>
        <w:numPr>
          <w:ilvl w:val="0"/>
          <w:numId w:val="1005"/>
        </w:numPr>
      </w:pPr>
      <w:r>
        <w:t xml:space="preserve">Rental revenue growth.</w:t>
      </w:r>
    </w:p>
    <w:p>
      <w:pPr>
        <w:pStyle w:val="Compact"/>
        <w:numPr>
          <w:ilvl w:val="0"/>
          <w:numId w:val="1005"/>
        </w:numPr>
      </w:pPr>
      <w:r>
        <w:t xml:space="preserve">Repair, maintenance, and labor costs.</w:t>
      </w:r>
    </w:p>
    <w:p>
      <w:pPr>
        <w:pStyle w:val="Compact"/>
        <w:numPr>
          <w:ilvl w:val="0"/>
          <w:numId w:val="1005"/>
        </w:numPr>
      </w:pPr>
      <w:r>
        <w:t xml:space="preserve">Utility reimbursement margins.</w:t>
      </w:r>
    </w:p>
    <w:p>
      <w:pPr>
        <w:pStyle w:val="Compact"/>
        <w:numPr>
          <w:ilvl w:val="0"/>
          <w:numId w:val="1005"/>
        </w:numPr>
      </w:pPr>
      <w:r>
        <w:t xml:space="preserve">Occupancy gains.</w:t>
      </w:r>
    </w:p>
    <w:p>
      <w:pPr>
        <w:pStyle w:val="Compact"/>
        <w:numPr>
          <w:ilvl w:val="0"/>
          <w:numId w:val="1005"/>
        </w:numPr>
      </w:pPr>
      <w:r>
        <w:t xml:space="preserve">The benefit of renewal pricing.</w:t>
      </w:r>
    </w:p>
    <w:p>
      <w:pPr>
        <w:pStyle w:val="Compact"/>
        <w:numPr>
          <w:ilvl w:val="0"/>
          <w:numId w:val="1005"/>
        </w:numPr>
      </w:pPr>
      <w:r>
        <w:t xml:space="preserve">Whether the 4%–5% full-year outlook is maintained.</w:t>
      </w:r>
    </w:p>
    <w:p>
      <w:pPr>
        <w:pStyle w:val="FirstParagraph"/>
      </w:pPr>
      <w:r>
        <w:t xml:space="preserve">Approximately 90% of DLR’s utility expense is reimbursed by customers, and most of its remaining electricity exposure was described as hedged or supported by contractual pricing flexibility. Energy inflation should therefore be more visible in reported revenue and expenses than in underlying earnings, but poor expense recovery would still matter.</w:t>
      </w:r>
    </w:p>
    <w:p>
      <w:r>
        <w:pict>
          <v:rect style="width:0;height:1.5pt" o:hralign="center" o:hrstd="t" o:hr="t"/>
        </w:pict>
      </w:r>
    </w:p>
    <w:bookmarkEnd w:id="13"/>
    <w:bookmarkStart w:id="14" w:name="Xaa7d0ffa1342e20975c5ca62ca2d658bff2dea2"/>
    <w:p>
      <w:pPr>
        <w:pStyle w:val="Heading2"/>
      </w:pPr>
      <w:r>
        <w:t xml:space="preserve">4. Renewal pricing should improve—but timing matters</w:t>
      </w:r>
    </w:p>
    <w:p>
      <w:pPr>
        <w:pStyle w:val="FirstParagraph"/>
      </w:pPr>
      <w:r>
        <w:t xml:space="preserve">First-quarter renewal leases increased</w:t>
      </w:r>
      <w:r>
        <w:t xml:space="preserve"> </w:t>
      </w:r>
      <w:r>
        <w:rPr>
          <w:b/>
          <w:bCs/>
        </w:rPr>
        <w:t xml:space="preserve">5.0% on a cash basis</w:t>
      </w:r>
      <w:r>
        <w:t xml:space="preserve">, while the company raised its full-year cash renewal-spread outlook to</w:t>
      </w:r>
      <w:r>
        <w:t xml:space="preserve"> </w:t>
      </w:r>
      <w:r>
        <w:rPr>
          <w:b/>
          <w:bCs/>
        </w:rPr>
        <w:t xml:space="preserve">6.5%–8.5%</w:t>
      </w:r>
      <w:r>
        <w:t xml:space="preserve">.</w:t>
      </w:r>
    </w:p>
    <w:p>
      <w:pPr>
        <w:pStyle w:val="BodyText"/>
      </w:pPr>
      <w:r>
        <w:t xml:space="preserve">Management expected stronger greater-than-1-MW renewals later in the year. Tight supply and changing data-center designs can allow DLR to renegotiate older leases rather than simply honoring fixed-price renewal options. AI-related changes—including higher density, liquid cooling, and revised CPU/GPU configurations—may further improve DLR’s ability to reset leases toward current market rates.</w:t>
      </w:r>
    </w:p>
    <w:p>
      <w:pPr>
        <w:pStyle w:val="BodyText"/>
      </w:pPr>
      <w:r>
        <w:t xml:space="preserve">For 2Q, investors should distinguish between:</w:t>
      </w:r>
    </w:p>
    <w:p>
      <w:pPr>
        <w:pStyle w:val="Compact"/>
        <w:numPr>
          <w:ilvl w:val="0"/>
          <w:numId w:val="1006"/>
        </w:numPr>
      </w:pPr>
      <w:r>
        <w:t xml:space="preserve">A lower blended spread caused by a mix weighted toward shorter-term colocation renewals.</w:t>
      </w:r>
    </w:p>
    <w:p>
      <w:pPr>
        <w:pStyle w:val="Compact"/>
        <w:numPr>
          <w:ilvl w:val="0"/>
          <w:numId w:val="1006"/>
        </w:numPr>
      </w:pPr>
      <w:r>
        <w:t xml:space="preserve">Genuine weakening in market rents.</w:t>
      </w:r>
    </w:p>
    <w:p>
      <w:pPr>
        <w:pStyle w:val="Compact"/>
        <w:numPr>
          <w:ilvl w:val="0"/>
          <w:numId w:val="1006"/>
        </w:numPr>
      </w:pPr>
      <w:r>
        <w:t xml:space="preserve">Large hyperscale renewals that validate management’s expected back-half acceleration.</w:t>
      </w:r>
    </w:p>
    <w:p>
      <w:pPr>
        <w:pStyle w:val="FirstParagraph"/>
      </w:pPr>
      <w:r>
        <w:t xml:space="preserve">A full-year guidance reduction here would be a clear negative because renewal mark-to-market is one of the cleanest sources of capital-light growth.</w:t>
      </w:r>
    </w:p>
    <w:p>
      <w:r>
        <w:pict>
          <v:rect style="width:0;height:1.5pt" o:hralign="center" o:hrstd="t" o:hr="t"/>
        </w:pict>
      </w:r>
    </w:p>
    <w:bookmarkEnd w:id="14"/>
    <w:bookmarkStart w:id="15" w:name="X0513a976bdd34ee32ee881e7d7045027d5d881a"/>
    <w:p>
      <w:pPr>
        <w:pStyle w:val="Heading2"/>
      </w:pPr>
      <w:r>
        <w:t xml:space="preserve">5. Guidance: a sequential earnings decline was already telegraphed</w:t>
      </w:r>
    </w:p>
    <w:p>
      <w:pPr>
        <w:pStyle w:val="FirstParagraph"/>
      </w:pPr>
      <w:r>
        <w:t xml:space="preserve">After reporting</w:t>
      </w:r>
      <w:r>
        <w:t xml:space="preserve"> </w:t>
      </w:r>
      <m:oMath>
        <m:r>
          <m:t>2.04</m:t>
        </m:r>
        <m:r>
          <m:t>o</m:t>
        </m:r>
        <m:r>
          <m:t>f</m:t>
        </m:r>
        <m:r>
          <m:t>C</m:t>
        </m:r>
        <m:r>
          <m:t>o</m:t>
        </m:r>
        <m:r>
          <m:t>r</m:t>
        </m:r>
        <m:r>
          <m:t>e</m:t>
        </m:r>
        <m:r>
          <m:t>F</m:t>
        </m:r>
        <m:r>
          <m:t>F</m:t>
        </m:r>
        <m:r>
          <m:t>O</m:t>
        </m:r>
        <m:r>
          <m:t>p</m:t>
        </m:r>
        <m:r>
          <m:t>e</m:t>
        </m:r>
        <m:r>
          <m:t>r</m:t>
        </m:r>
        <m:r>
          <m:t>s</m:t>
        </m:r>
        <m:r>
          <m:t>h</m:t>
        </m:r>
        <m:r>
          <m:t>a</m:t>
        </m:r>
        <m:r>
          <m:t>r</m:t>
        </m:r>
        <m:r>
          <m:t>e</m:t>
        </m:r>
        <m:r>
          <m:t>i</m:t>
        </m:r>
        <m:r>
          <m:t>n</m:t>
        </m:r>
        <m:r>
          <m:t>1</m:t>
        </m:r>
        <m:r>
          <m:t>Q</m:t>
        </m:r>
        <m:r>
          <m:rPr>
            <m:sty m:val="p"/>
          </m:rPr>
          <m:t>,</m:t>
        </m:r>
        <m:r>
          <m:t>D</m:t>
        </m:r>
        <m:r>
          <m:t>L</m:t>
        </m:r>
        <m:r>
          <m:t>R</m:t>
        </m:r>
        <m:r>
          <m:t>r</m:t>
        </m:r>
        <m:r>
          <m:t>a</m:t>
        </m:r>
        <m:r>
          <m:t>i</m:t>
        </m:r>
        <m:r>
          <m:t>s</m:t>
        </m:r>
        <m:r>
          <m:t>e</m:t>
        </m:r>
        <m:r>
          <m:t>d</m:t>
        </m:r>
        <m:r>
          <m:t>f</m:t>
        </m:r>
        <m:r>
          <m:t>u</m:t>
        </m:r>
        <m:r>
          <m:t>l</m:t>
        </m:r>
        <m:r>
          <m:t>l</m:t>
        </m:r>
        <m:r>
          <m:rPr>
            <m:sty m:val="p"/>
          </m:rPr>
          <m:t>−</m:t>
        </m:r>
        <m:r>
          <m:t>y</m:t>
        </m:r>
        <m:r>
          <m:t>e</m:t>
        </m:r>
        <m:r>
          <m:t>a</m:t>
        </m:r>
        <m:r>
          <m:t>r</m:t>
        </m:r>
        <m:r>
          <m:t>g</m:t>
        </m:r>
        <m:r>
          <m:t>u</m:t>
        </m:r>
        <m:r>
          <m:t>i</m:t>
        </m:r>
        <m:r>
          <m:t>d</m:t>
        </m:r>
        <m:r>
          <m:t>a</m:t>
        </m:r>
        <m:r>
          <m:t>n</m:t>
        </m:r>
        <m:r>
          <m:t>c</m:t>
        </m:r>
        <m:r>
          <m:t>e</m:t>
        </m:r>
        <m:r>
          <m:t>t</m:t>
        </m:r>
        <m:r>
          <m:t>o</m:t>
        </m:r>
        <m:r>
          <m:rPr>
            <m:sty m:val="p"/>
          </m:rPr>
          <m:t>*</m:t>
        </m:r>
        <m:r>
          <m:rPr>
            <m:sty m:val="p"/>
          </m:rPr>
          <m:t>*</m:t>
        </m:r>
      </m:oMath>
      <w:r>
        <w:t xml:space="preserve">8.00–</w:t>
      </w:r>
      <m:oMath>
        <m:r>
          <m:t>8.10</m:t>
        </m:r>
        <m:r>
          <m:rPr>
            <m:sty m:val="p"/>
          </m:rPr>
          <m:t>*</m:t>
        </m:r>
        <m:r>
          <m:rPr>
            <m:sty m:val="p"/>
          </m:rPr>
          <m:t>*</m:t>
        </m:r>
        <m:r>
          <m:rPr>
            <m:sty m:val="p"/>
          </m:rPr>
          <m:t>.</m:t>
        </m:r>
        <m:r>
          <m:t>T</m:t>
        </m:r>
        <m:r>
          <m:t>h</m:t>
        </m:r>
        <m:r>
          <m:t>e</m:t>
        </m:r>
        <m:r>
          <m:t>m</m:t>
        </m:r>
        <m:r>
          <m:t>i</m:t>
        </m:r>
        <m:r>
          <m:t>d</m:t>
        </m:r>
        <m:r>
          <m:t>p</m:t>
        </m:r>
        <m:r>
          <m:t>o</m:t>
        </m:r>
        <m:r>
          <m:t>i</m:t>
        </m:r>
        <m:r>
          <m:t>n</m:t>
        </m:r>
        <m:r>
          <m:t>t</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6.01 per share across the final three quarters**, or an average of roughly $2.00 per quarter.</w:t>
      </w:r>
    </w:p>
    <w:p>
      <w:pPr>
        <w:pStyle w:val="BodyText"/>
      </w:pPr>
      <w:r>
        <w:t xml:space="preserve">Management explicitly said it expected:</w:t>
      </w:r>
    </w:p>
    <w:p>
      <w:pPr>
        <w:pStyle w:val="Compact"/>
        <w:numPr>
          <w:ilvl w:val="0"/>
          <w:numId w:val="1007"/>
        </w:numPr>
      </w:pPr>
      <w:r>
        <w:t xml:space="preserve">A step-down in Core FFO in 2Q.</w:t>
      </w:r>
    </w:p>
    <w:p>
      <w:pPr>
        <w:pStyle w:val="Compact"/>
        <w:numPr>
          <w:ilvl w:val="0"/>
          <w:numId w:val="1007"/>
        </w:numPr>
      </w:pPr>
      <w:r>
        <w:t xml:space="preserve">A rebound in 3Q.</w:t>
      </w:r>
    </w:p>
    <w:p>
      <w:pPr>
        <w:pStyle w:val="Compact"/>
        <w:numPr>
          <w:ilvl w:val="0"/>
          <w:numId w:val="1007"/>
        </w:numPr>
      </w:pPr>
      <w:r>
        <w:t xml:space="preserve">A stronger exit rate in 4Q.</w:t>
      </w:r>
    </w:p>
    <w:p>
      <w:pPr>
        <w:pStyle w:val="FirstParagraph"/>
      </w:pPr>
      <w:r>
        <w:t xml:space="preserve">The expected 2Q moderation reflects rising operating expenses, continued development and land investment, and planned capital recycling. Investors should therefore avoid interpreting a sequential decline from $2.04 as an automatic miss.</w:t>
      </w:r>
    </w:p>
    <w:p>
      <w:pPr>
        <w:pStyle w:val="BodyText"/>
      </w:pPr>
      <w:r>
        <w:t xml:space="preserve">The more important guidance questions are:</w:t>
      </w:r>
    </w:p>
    <w:p>
      <w:pPr>
        <w:pStyle w:val="Compact"/>
        <w:numPr>
          <w:ilvl w:val="0"/>
          <w:numId w:val="1008"/>
        </w:numPr>
      </w:pPr>
      <w:r>
        <w:t xml:space="preserve">Is the</w:t>
      </w:r>
      <w:r>
        <w:t xml:space="preserve"> </w:t>
      </w:r>
      <m:oMath>
        <m:r>
          <m:t>8.00</m:t>
        </m:r>
        <m:r>
          <m:rPr>
            <m:sty m:val="p"/>
          </m:rPr>
          <m:t>–</m:t>
        </m:r>
      </m:oMath>
      <w:r>
        <w:rPr>
          <w:b/>
          <w:bCs/>
        </w:rPr>
        <w:t xml:space="preserve">8.10</w:t>
      </w:r>
      <w:r>
        <w:t xml:space="preserve"> </w:t>
      </w:r>
      <w:r>
        <w:t xml:space="preserve">range maintained or raised?</w:t>
      </w:r>
    </w:p>
    <w:p>
      <w:pPr>
        <w:pStyle w:val="Compact"/>
        <w:numPr>
          <w:ilvl w:val="0"/>
          <w:numId w:val="1008"/>
        </w:numPr>
      </w:pPr>
      <w:r>
        <w:t xml:space="preserve">How do recent transactions affect 2026 Core FFO?</w:t>
      </w:r>
    </w:p>
    <w:p>
      <w:pPr>
        <w:pStyle w:val="Compact"/>
        <w:numPr>
          <w:ilvl w:val="0"/>
          <w:numId w:val="1008"/>
        </w:numPr>
      </w:pPr>
      <w:r>
        <w:t xml:space="preserve">Has the assumed share count increased?</w:t>
      </w:r>
    </w:p>
    <w:p>
      <w:pPr>
        <w:pStyle w:val="Compact"/>
        <w:numPr>
          <w:ilvl w:val="0"/>
          <w:numId w:val="1008"/>
        </w:numPr>
      </w:pPr>
      <w:r>
        <w:t xml:space="preserve">Does higher interest expense or development spending offset better operations?</w:t>
      </w:r>
    </w:p>
    <w:p>
      <w:pPr>
        <w:pStyle w:val="Compact"/>
        <w:numPr>
          <w:ilvl w:val="0"/>
          <w:numId w:val="1008"/>
        </w:numPr>
      </w:pPr>
      <w:r>
        <w:t xml:space="preserve">Are occupancy, renewal-spread, and same-capital NOI assumptions intact?</w:t>
      </w:r>
    </w:p>
    <w:p>
      <w:pPr>
        <w:pStyle w:val="FirstParagraph"/>
      </w:pPr>
      <w:r>
        <w:t xml:space="preserve">A simple reaffirmation could be acceptable given the substantial transaction activity since 1Q. A guidance raise would be particularly constructive if driven by operating performance rather than foreign exchange or one-time fee income.</w:t>
      </w:r>
    </w:p>
    <w:p>
      <w:r>
        <w:pict>
          <v:rect style="width:0;height:1.5pt" o:hralign="center" o:hrstd="t" o:hr="t"/>
        </w:pict>
      </w:r>
    </w:p>
    <w:bookmarkEnd w:id="15"/>
    <w:bookmarkStart w:id="18" w:name="Xdfd7f876ee0ca8600448ccb888a2361624602c5"/>
    <w:p>
      <w:pPr>
        <w:pStyle w:val="Heading2"/>
      </w:pPr>
      <w:r>
        <w:t xml:space="preserve">6. The capital-allocation story changed materially during the quarter</w:t>
      </w:r>
    </w:p>
    <w:bookmarkStart w:id="16" w:name="blackstone-joint-venture-buyout"/>
    <w:p>
      <w:pPr>
        <w:pStyle w:val="Heading3"/>
      </w:pPr>
      <w:r>
        <w:t xml:space="preserve">Blackstone joint-venture buyout</w:t>
      </w:r>
    </w:p>
    <w:p>
      <w:pPr>
        <w:pStyle w:val="FirstParagraph"/>
      </w:pPr>
      <w:r>
        <w:t xml:space="preserve">On June 30, DLR completed the purchase of Blackstone’s interests in three Northern Virginia data centers:</w:t>
      </w:r>
    </w:p>
    <w:p>
      <w:pPr>
        <w:pStyle w:val="Compact"/>
        <w:numPr>
          <w:ilvl w:val="0"/>
          <w:numId w:val="1009"/>
        </w:numPr>
      </w:pPr>
      <w:r>
        <w:rPr>
          <w:b/>
          <w:bCs/>
        </w:rPr>
        <w:t xml:space="preserve">288 MW</w:t>
      </w:r>
      <w:r>
        <w:t xml:space="preserve"> </w:t>
      </w:r>
      <w:r>
        <w:t xml:space="preserve">of total capacity.</w:t>
      </w:r>
    </w:p>
    <w:p>
      <w:pPr>
        <w:pStyle w:val="Compact"/>
        <w:numPr>
          <w:ilvl w:val="0"/>
          <w:numId w:val="1009"/>
        </w:numPr>
      </w:pPr>
      <w:r>
        <w:t xml:space="preserve">Three distinct investment-grade hyperscale customers.</w:t>
      </w:r>
    </w:p>
    <w:p>
      <w:pPr>
        <w:pStyle w:val="Compact"/>
        <w:numPr>
          <w:ilvl w:val="0"/>
          <w:numId w:val="1009"/>
        </w:numPr>
      </w:pPr>
      <w:r>
        <w:t xml:space="preserve">100% leased.</w:t>
      </w:r>
    </w:p>
    <w:p>
      <w:pPr>
        <w:pStyle w:val="Compact"/>
        <w:numPr>
          <w:ilvl w:val="0"/>
          <w:numId w:val="1009"/>
        </w:numPr>
      </w:pPr>
      <w:r>
        <w:t xml:space="preserve">Approximately 15-year leases.</w:t>
      </w:r>
    </w:p>
    <w:p>
      <w:pPr>
        <w:pStyle w:val="Compact"/>
        <w:numPr>
          <w:ilvl w:val="0"/>
          <w:numId w:val="1009"/>
        </w:numPr>
      </w:pPr>
      <w:r>
        <w:rPr>
          <w:b/>
          <w:bCs/>
        </w:rPr>
        <w:t xml:space="preserve">3.6% annual rent escalators.</w:t>
      </w:r>
    </w:p>
    <w:p>
      <w:pPr>
        <w:pStyle w:val="Compact"/>
        <w:numPr>
          <w:ilvl w:val="0"/>
          <w:numId w:val="1009"/>
        </w:numPr>
      </w:pPr>
      <w:r>
        <w:t xml:space="preserve">Gross asset value of approximately</w:t>
      </w:r>
      <w:r>
        <w:t xml:space="preserve"> </w:t>
      </w:r>
      <w:r>
        <w:rPr>
          <w:b/>
          <w:bCs/>
        </w:rPr>
        <w:t xml:space="preserve">$7.8 billion</w:t>
      </w:r>
      <w:r>
        <w:t xml:space="preserve">.</w:t>
      </w:r>
    </w:p>
    <w:p>
      <w:pPr>
        <w:pStyle w:val="Compact"/>
        <w:numPr>
          <w:ilvl w:val="0"/>
          <w:numId w:val="1009"/>
        </w:numPr>
      </w:pPr>
      <w:r>
        <w:t xml:space="preserve">Consideration to Blackstone of approximately</w:t>
      </w:r>
      <w:r>
        <w:t xml:space="preserve"> </w:t>
      </w:r>
      <w:r>
        <w:rPr>
          <w:b/>
          <w:bCs/>
        </w:rPr>
        <w:t xml:space="preserve">$3.5 billion</w:t>
      </w:r>
      <w:r>
        <w:t xml:space="preserve">, consisting of $1.2 billion in cash and $2.3 billion in DLR shares.</w:t>
      </w:r>
    </w:p>
    <w:p>
      <w:pPr>
        <w:pStyle w:val="FirstParagraph"/>
      </w:pPr>
      <w:r>
        <w:t xml:space="preserve">The assets are expected to stabilize during 2027 and 2028, and management expects the transaction to be accretive to Core FFO per share in those years. It does little for immediate 2Q operating earnings, however, while increasing DLR’s ownership, funding requirements, and share count.</w:t>
      </w:r>
    </w:p>
    <w:p>
      <w:pPr>
        <w:pStyle w:val="BodyText"/>
      </w:pPr>
      <w:r>
        <w:t xml:space="preserve">Investors need clarity on:</w:t>
      </w:r>
    </w:p>
    <w:p>
      <w:pPr>
        <w:pStyle w:val="Compact"/>
        <w:numPr>
          <w:ilvl w:val="0"/>
          <w:numId w:val="1010"/>
        </w:numPr>
      </w:pPr>
      <w:r>
        <w:t xml:space="preserve">Pro forma leverage and liquidity.</w:t>
      </w:r>
    </w:p>
    <w:p>
      <w:pPr>
        <w:pStyle w:val="Compact"/>
        <w:numPr>
          <w:ilvl w:val="0"/>
          <w:numId w:val="1010"/>
        </w:numPr>
      </w:pPr>
      <w:r>
        <w:t xml:space="preserve">Remaining capex required to complete the assets.</w:t>
      </w:r>
    </w:p>
    <w:p>
      <w:pPr>
        <w:pStyle w:val="Compact"/>
        <w:numPr>
          <w:ilvl w:val="0"/>
          <w:numId w:val="1010"/>
        </w:numPr>
      </w:pPr>
      <w:r>
        <w:t xml:space="preserve">Accounting treatment following consolidation.</w:t>
      </w:r>
    </w:p>
    <w:p>
      <w:pPr>
        <w:pStyle w:val="Compact"/>
        <w:numPr>
          <w:ilvl w:val="0"/>
          <w:numId w:val="1010"/>
        </w:numPr>
      </w:pPr>
      <w:r>
        <w:t xml:space="preserve">Near-term interest and dilution effects.</w:t>
      </w:r>
    </w:p>
    <w:p>
      <w:pPr>
        <w:pStyle w:val="Compact"/>
        <w:numPr>
          <w:ilvl w:val="0"/>
          <w:numId w:val="1010"/>
        </w:numPr>
      </w:pPr>
      <w:r>
        <w:t xml:space="preserve">Plans to recycle the stabilized assets into private-capital vehicles.</w:t>
      </w:r>
    </w:p>
    <w:bookmarkEnd w:id="16"/>
    <w:bookmarkStart w:id="17" w:name="other-strategic-transactions"/>
    <w:p>
      <w:pPr>
        <w:pStyle w:val="Heading3"/>
      </w:pPr>
      <w:r>
        <w:t xml:space="preserve">Other strategic transactions</w:t>
      </w:r>
    </w:p>
    <w:p>
      <w:pPr>
        <w:pStyle w:val="FirstParagraph"/>
      </w:pPr>
      <w:r>
        <w:t xml:space="preserve">DLR also announced:</w:t>
      </w:r>
    </w:p>
    <w:p>
      <w:pPr>
        <w:pStyle w:val="Compact"/>
        <w:numPr>
          <w:ilvl w:val="0"/>
          <w:numId w:val="1011"/>
        </w:numPr>
      </w:pPr>
      <w:r>
        <w:t xml:space="preserve">A</w:t>
      </w:r>
      <w:r>
        <w:t xml:space="preserve"> </w:t>
      </w:r>
      <w:r>
        <w:rPr>
          <w:b/>
          <w:bCs/>
        </w:rPr>
        <w:t xml:space="preserve">$475 million</w:t>
      </w:r>
      <w:r>
        <w:t xml:space="preserve"> </w:t>
      </w:r>
      <w:r>
        <w:t xml:space="preserve">Kansas City-area land acquisition supporting 600 MW of utility power by early 2028 and as much as 2 GW at full delivery.</w:t>
      </w:r>
    </w:p>
    <w:p>
      <w:pPr>
        <w:pStyle w:val="Compact"/>
        <w:numPr>
          <w:ilvl w:val="0"/>
          <w:numId w:val="1011"/>
        </w:numPr>
      </w:pPr>
      <w:r>
        <w:t xml:space="preserve">The planned purchase of an additional 16% of Teraco for approximately</w:t>
      </w:r>
      <w:r>
        <w:t xml:space="preserve"> </w:t>
      </w:r>
      <w:r>
        <w:rPr>
          <w:b/>
          <w:bCs/>
        </w:rPr>
        <w:t xml:space="preserve">$650 million</w:t>
      </w:r>
      <w:r>
        <w:t xml:space="preserve">, increasing DLR’s ownership to 77%.</w:t>
      </w:r>
    </w:p>
    <w:p>
      <w:pPr>
        <w:pStyle w:val="Compact"/>
        <w:numPr>
          <w:ilvl w:val="0"/>
          <w:numId w:val="1011"/>
        </w:numPr>
      </w:pPr>
      <w:r>
        <w:t xml:space="preserve">The planned acquisition of Columbia Capital for approximately</w:t>
      </w:r>
      <w:r>
        <w:t xml:space="preserve"> </w:t>
      </w:r>
      <w:r>
        <w:rPr>
          <w:b/>
          <w:bCs/>
        </w:rPr>
        <w:t xml:space="preserve">$485 million</w:t>
      </w:r>
      <w:r>
        <w:t xml:space="preserve">, intended to expand DLR’s strategic private-capital capabilities.</w:t>
      </w:r>
    </w:p>
    <w:p>
      <w:pPr>
        <w:pStyle w:val="Compact"/>
        <w:numPr>
          <w:ilvl w:val="0"/>
          <w:numId w:val="1011"/>
        </w:numPr>
      </w:pPr>
      <w:r>
        <w:t xml:space="preserve">Approximately</w:t>
      </w:r>
      <w:r>
        <w:t xml:space="preserve"> </w:t>
      </w:r>
      <w:r>
        <w:rPr>
          <w:b/>
          <w:bCs/>
        </w:rPr>
        <w:t xml:space="preserve">6.3 million shares and operating-partnership units</w:t>
      </w:r>
      <w:r>
        <w:t xml:space="preserve"> </w:t>
      </w:r>
      <w:r>
        <w:t xml:space="preserve">to fund these transactions, at a weighted-average price of $197.54.</w:t>
      </w:r>
    </w:p>
    <w:p>
      <w:pPr>
        <w:pStyle w:val="FirstParagraph"/>
      </w:pPr>
      <w:r>
        <w:t xml:space="preserve">These moves expand DLR’s growth runway but also reinforce the central question for the stock:</w:t>
      </w:r>
      <w:r>
        <w:t xml:space="preserve"> </w:t>
      </w:r>
      <w:r>
        <w:rPr>
          <w:b/>
          <w:bCs/>
        </w:rPr>
        <w:t xml:space="preserve">Can the company turn a rapidly expanding asset and development base into attractive per-share growth after accounting for equity issuance?</w:t>
      </w:r>
    </w:p>
    <w:p>
      <w:r>
        <w:pict>
          <v:rect style="width:0;height:1.5pt" o:hralign="center" o:hrstd="t" o:hr="t"/>
        </w:pict>
      </w:r>
    </w:p>
    <w:bookmarkEnd w:id="17"/>
    <w:bookmarkEnd w:id="18"/>
    <w:bookmarkStart w:id="19" w:name="X79fdb56c2ff3622f65df099d6faa90f5e480ae1"/>
    <w:p>
      <w:pPr>
        <w:pStyle w:val="Heading2"/>
      </w:pPr>
      <w:r>
        <w:t xml:space="preserve">7. Balance-sheet discipline remains essential</w:t>
      </w:r>
    </w:p>
    <w:p>
      <w:pPr>
        <w:pStyle w:val="FirstParagraph"/>
      </w:pPr>
      <w:r>
        <w:t xml:space="preserve">DLR finished 1Q at</w:t>
      </w:r>
      <w:r>
        <w:t xml:space="preserve"> </w:t>
      </w:r>
      <w:r>
        <w:rPr>
          <w:b/>
          <w:bCs/>
        </w:rPr>
        <w:t xml:space="preserve">4.7x net debt to adjusted EBITDA</w:t>
      </w:r>
      <w:r>
        <w:t xml:space="preserve">, down from 5.1x a year earlier. It also had $2.4 billion of cash and substantial revolver availability.</w:t>
      </w:r>
    </w:p>
    <w:p>
      <w:pPr>
        <w:pStyle w:val="BodyText"/>
      </w:pPr>
      <w:r>
        <w:t xml:space="preserve">That was a strong starting point, but the company is pursuing several capital-intensive initiatives simultaneously:</w:t>
      </w:r>
    </w:p>
    <w:p>
      <w:pPr>
        <w:pStyle w:val="Compact"/>
        <w:numPr>
          <w:ilvl w:val="0"/>
          <w:numId w:val="1012"/>
        </w:numPr>
      </w:pPr>
      <m:oMath>
        <m:r>
          <m:t>3.5</m:t>
        </m:r>
        <m:r>
          <m:rPr>
            <m:sty m:val="p"/>
          </m:rPr>
          <m:t>–</m:t>
        </m:r>
      </m:oMath>
      <w:r>
        <w:t xml:space="preserve">4.0 billion of 2026 development capex, net of partner contributions.</w:t>
      </w:r>
    </w:p>
    <w:p>
      <w:pPr>
        <w:pStyle w:val="Compact"/>
        <w:numPr>
          <w:ilvl w:val="0"/>
          <w:numId w:val="1012"/>
        </w:numPr>
      </w:pPr>
      <w:r>
        <w:t xml:space="preserve">Additional land purchases.</w:t>
      </w:r>
    </w:p>
    <w:p>
      <w:pPr>
        <w:pStyle w:val="Compact"/>
        <w:numPr>
          <w:ilvl w:val="0"/>
          <w:numId w:val="1012"/>
        </w:numPr>
      </w:pPr>
      <w:r>
        <w:t xml:space="preserve">The cash component of the Blackstone transaction.</w:t>
      </w:r>
    </w:p>
    <w:p>
      <w:pPr>
        <w:pStyle w:val="Compact"/>
        <w:numPr>
          <w:ilvl w:val="0"/>
          <w:numId w:val="1012"/>
        </w:numPr>
      </w:pPr>
      <w:r>
        <w:t xml:space="preserve">Remaining development spending on the acquired Northern Virginia facilities.</w:t>
      </w:r>
    </w:p>
    <w:p>
      <w:pPr>
        <w:pStyle w:val="Compact"/>
        <w:numPr>
          <w:ilvl w:val="0"/>
          <w:numId w:val="1012"/>
        </w:numPr>
      </w:pPr>
      <w:r>
        <w:t xml:space="preserve">Potentially higher investment in its private-capital platform.</w:t>
      </w:r>
    </w:p>
    <w:p>
      <w:pPr>
        <w:pStyle w:val="FirstParagraph"/>
      </w:pPr>
      <w:r>
        <w:t xml:space="preserve">DLR has responded with equity, joint ventures, funds, asset sales, and retained cash flow. The trade-off is that frequent issuance can restrain Core FFO growth per share even when total EBITDA and asset value rise rapidly.</w:t>
      </w:r>
    </w:p>
    <w:p>
      <w:pPr>
        <w:pStyle w:val="BodyText"/>
      </w:pPr>
      <w:r>
        <w:t xml:space="preserve">Watch for:</w:t>
      </w:r>
    </w:p>
    <w:p>
      <w:pPr>
        <w:pStyle w:val="Compact"/>
        <w:numPr>
          <w:ilvl w:val="0"/>
          <w:numId w:val="1013"/>
        </w:numPr>
      </w:pPr>
      <w:r>
        <w:t xml:space="preserve">Quarter-end and pro forma leverage.</w:t>
      </w:r>
    </w:p>
    <w:p>
      <w:pPr>
        <w:pStyle w:val="Compact"/>
        <w:numPr>
          <w:ilvl w:val="0"/>
          <w:numId w:val="1013"/>
        </w:numPr>
      </w:pPr>
      <w:r>
        <w:t xml:space="preserve">Revolver borrowings and cash balances.</w:t>
      </w:r>
    </w:p>
    <w:p>
      <w:pPr>
        <w:pStyle w:val="Compact"/>
        <w:numPr>
          <w:ilvl w:val="0"/>
          <w:numId w:val="1013"/>
        </w:numPr>
      </w:pPr>
      <w:r>
        <w:t xml:space="preserve">ATM issuance after March 31.</w:t>
      </w:r>
    </w:p>
    <w:p>
      <w:pPr>
        <w:pStyle w:val="Compact"/>
        <w:numPr>
          <w:ilvl w:val="0"/>
          <w:numId w:val="1013"/>
        </w:numPr>
      </w:pPr>
      <w:r>
        <w:t xml:space="preserve">Updated weighted-average diluted shares.</w:t>
      </w:r>
    </w:p>
    <w:p>
      <w:pPr>
        <w:pStyle w:val="Compact"/>
        <w:numPr>
          <w:ilvl w:val="0"/>
          <w:numId w:val="1013"/>
        </w:numPr>
      </w:pPr>
      <w:r>
        <w:t xml:space="preserve">Progress toward</w:t>
      </w:r>
      <w:r>
        <w:t xml:space="preserve"> </w:t>
      </w:r>
      <m:oMath>
        <m:r>
          <m:t>500</m:t>
        </m:r>
        <m:r>
          <m:t>m</m:t>
        </m:r>
        <m:r>
          <m:t>i</m:t>
        </m:r>
        <m:r>
          <m:t>l</m:t>
        </m:r>
        <m:r>
          <m:t>l</m:t>
        </m:r>
        <m:r>
          <m:t>i</m:t>
        </m:r>
        <m:r>
          <m:t>o</m:t>
        </m:r>
        <m:r>
          <m:t>n</m:t>
        </m:r>
        <m:r>
          <m:rPr>
            <m:sty m:val="p"/>
          </m:rPr>
          <m:t>–</m:t>
        </m:r>
      </m:oMath>
      <w:r>
        <w:t xml:space="preserve">1 billion of dispositions or joint-venture capital.</w:t>
      </w:r>
    </w:p>
    <w:p>
      <w:pPr>
        <w:pStyle w:val="Compact"/>
        <w:numPr>
          <w:ilvl w:val="0"/>
          <w:numId w:val="1013"/>
        </w:numPr>
      </w:pPr>
      <w:r>
        <w:t xml:space="preserve">Any change in credit-rating commentary.</w:t>
      </w:r>
    </w:p>
    <w:p>
      <w:pPr>
        <w:pStyle w:val="Compact"/>
        <w:numPr>
          <w:ilvl w:val="0"/>
          <w:numId w:val="1013"/>
        </w:numPr>
      </w:pPr>
      <w:r>
        <w:t xml:space="preserve">Management’s target leverage through the development cycle.</w:t>
      </w:r>
    </w:p>
    <w:p>
      <w:r>
        <w:pict>
          <v:rect style="width:0;height:1.5pt" o:hralign="center" o:hrstd="t" o:hr="t"/>
        </w:pict>
      </w:r>
    </w:p>
    <w:bookmarkEnd w:id="19"/>
    <w:bookmarkStart w:id="20" w:name="X4b80b3edfce42288a8f642586947bfb969175b9"/>
    <w:p>
      <w:pPr>
        <w:pStyle w:val="Heading2"/>
      </w:pPr>
      <w:r>
        <w:t xml:space="preserve">8. Development returns must hold despite cost inflation</w:t>
      </w:r>
    </w:p>
    <w:p>
      <w:pPr>
        <w:pStyle w:val="FirstParagraph"/>
      </w:pPr>
      <w:r>
        <w:t xml:space="preserve">At the end of 1Q, DLR had approximately</w:t>
      </w:r>
      <w:r>
        <w:t xml:space="preserve"> </w:t>
      </w:r>
      <w:r>
        <w:rPr>
          <w:b/>
          <w:bCs/>
        </w:rPr>
        <w:t xml:space="preserve">1.17 GW under construction</w:t>
      </w:r>
      <w:r>
        <w:t xml:space="preserve">, 61% pre-leased, with an expected average stabilized yield of</w:t>
      </w:r>
      <w:r>
        <w:t xml:space="preserve"> </w:t>
      </w:r>
      <w:r>
        <w:rPr>
          <w:b/>
          <w:bCs/>
        </w:rPr>
        <w:t xml:space="preserve">11.4%</w:t>
      </w:r>
      <w:r>
        <w:t xml:space="preserve">. The total pipeline represented $16.5 billion of investment at 100% share.</w:t>
      </w:r>
    </w:p>
    <w:p>
      <w:pPr>
        <w:pStyle w:val="BodyText"/>
      </w:pPr>
      <w:r>
        <w:t xml:space="preserve">Management acknowledged rising costs for:</w:t>
      </w:r>
    </w:p>
    <w:p>
      <w:pPr>
        <w:pStyle w:val="Compact"/>
        <w:numPr>
          <w:ilvl w:val="0"/>
          <w:numId w:val="1014"/>
        </w:numPr>
      </w:pPr>
      <w:r>
        <w:t xml:space="preserve">Land.</w:t>
      </w:r>
    </w:p>
    <w:p>
      <w:pPr>
        <w:pStyle w:val="Compact"/>
        <w:numPr>
          <w:ilvl w:val="0"/>
          <w:numId w:val="1014"/>
        </w:numPr>
      </w:pPr>
      <w:r>
        <w:t xml:space="preserve">Electrical equipment.</w:t>
      </w:r>
    </w:p>
    <w:p>
      <w:pPr>
        <w:pStyle w:val="Compact"/>
        <w:numPr>
          <w:ilvl w:val="0"/>
          <w:numId w:val="1014"/>
        </w:numPr>
      </w:pPr>
      <w:r>
        <w:t xml:space="preserve">Skilled labor.</w:t>
      </w:r>
    </w:p>
    <w:p>
      <w:pPr>
        <w:pStyle w:val="Compact"/>
        <w:numPr>
          <w:ilvl w:val="0"/>
          <w:numId w:val="1014"/>
        </w:numPr>
      </w:pPr>
      <w:r>
        <w:t xml:space="preserve">Supply-chain capacity.</w:t>
      </w:r>
    </w:p>
    <w:p>
      <w:pPr>
        <w:pStyle w:val="Compact"/>
        <w:numPr>
          <w:ilvl w:val="0"/>
          <w:numId w:val="1014"/>
        </w:numPr>
      </w:pPr>
      <w:r>
        <w:t xml:space="preserve">Higher-density and liquid-cooling designs.</w:t>
      </w:r>
    </w:p>
    <w:p>
      <w:pPr>
        <w:pStyle w:val="FirstParagraph"/>
      </w:pPr>
      <w:r>
        <w:t xml:space="preserve">It nevertheless said rent growth was continuing to exceed construction-cost inflation.</w:t>
      </w:r>
    </w:p>
    <w:p>
      <w:pPr>
        <w:pStyle w:val="BodyText"/>
      </w:pPr>
      <w:r>
        <w:t xml:space="preserve">This assertion is central to the bull case. The quarter should be evaluated for:</w:t>
      </w:r>
    </w:p>
    <w:p>
      <w:pPr>
        <w:pStyle w:val="Compact"/>
        <w:numPr>
          <w:ilvl w:val="0"/>
          <w:numId w:val="1015"/>
        </w:numPr>
      </w:pPr>
      <w:r>
        <w:t xml:space="preserve">Changes in expected development yield.</w:t>
      </w:r>
    </w:p>
    <w:p>
      <w:pPr>
        <w:pStyle w:val="Compact"/>
        <w:numPr>
          <w:ilvl w:val="0"/>
          <w:numId w:val="1015"/>
        </w:numPr>
      </w:pPr>
      <w:r>
        <w:t xml:space="preserve">Cost per megawatt.</w:t>
      </w:r>
    </w:p>
    <w:p>
      <w:pPr>
        <w:pStyle w:val="Compact"/>
        <w:numPr>
          <w:ilvl w:val="0"/>
          <w:numId w:val="1015"/>
        </w:numPr>
      </w:pPr>
      <w:r>
        <w:t xml:space="preserve">Project delays or budget revisions.</w:t>
      </w:r>
    </w:p>
    <w:p>
      <w:pPr>
        <w:pStyle w:val="Compact"/>
        <w:numPr>
          <w:ilvl w:val="0"/>
          <w:numId w:val="1015"/>
        </w:numPr>
      </w:pPr>
      <w:r>
        <w:t xml:space="preserve">Capacity placed into service.</w:t>
      </w:r>
    </w:p>
    <w:p>
      <w:pPr>
        <w:pStyle w:val="Compact"/>
        <w:numPr>
          <w:ilvl w:val="0"/>
          <w:numId w:val="1015"/>
        </w:numPr>
      </w:pPr>
      <w:r>
        <w:t xml:space="preserve">New construction starts.</w:t>
      </w:r>
    </w:p>
    <w:p>
      <w:pPr>
        <w:pStyle w:val="Compact"/>
        <w:numPr>
          <w:ilvl w:val="0"/>
          <w:numId w:val="1015"/>
        </w:numPr>
      </w:pPr>
      <w:r>
        <w:t xml:space="preserve">Pre-leasing of newly activated projects.</w:t>
      </w:r>
    </w:p>
    <w:p>
      <w:pPr>
        <w:pStyle w:val="Compact"/>
        <w:numPr>
          <w:ilvl w:val="0"/>
          <w:numId w:val="1015"/>
        </w:numPr>
      </w:pPr>
      <w:r>
        <w:t xml:space="preserve">Utility commitments rather than merely theoretical land capacity.</w:t>
      </w:r>
    </w:p>
    <w:p>
      <w:pPr>
        <w:pStyle w:val="FirstParagraph"/>
      </w:pPr>
      <w:r>
        <w:t xml:space="preserve">A bigger pipeline is not necessarily better if it requires more equity, takes longer to deliver, or earns lower returns.</w:t>
      </w:r>
    </w:p>
    <w:p>
      <w:r>
        <w:pict>
          <v:rect style="width:0;height:1.5pt" o:hralign="center" o:hrstd="t" o:hr="t"/>
        </w:pict>
      </w:r>
    </w:p>
    <w:bookmarkEnd w:id="20"/>
    <w:bookmarkStart w:id="24" w:name="potential-stock-reaction-framework"/>
    <w:p>
      <w:pPr>
        <w:pStyle w:val="Heading2"/>
      </w:pPr>
      <w:r>
        <w:t xml:space="preserve">Potential stock-reaction framework</w:t>
      </w:r>
    </w:p>
    <w:bookmarkStart w:id="21" w:name="bullish-outcome"/>
    <w:p>
      <w:pPr>
        <w:pStyle w:val="Heading3"/>
      </w:pPr>
      <w:r>
        <w:t xml:space="preserve">Bullish outcome</w:t>
      </w:r>
    </w:p>
    <w:p>
      <w:pPr>
        <w:pStyle w:val="Compact"/>
        <w:numPr>
          <w:ilvl w:val="0"/>
          <w:numId w:val="1016"/>
        </w:numPr>
      </w:pPr>
      <w:r>
        <w:t xml:space="preserve">Core FFO meets or exceeds expectations despite the anticipated sequential decline.</w:t>
      </w:r>
    </w:p>
    <w:p>
      <w:pPr>
        <w:pStyle w:val="Compact"/>
        <w:numPr>
          <w:ilvl w:val="0"/>
          <w:numId w:val="1016"/>
        </w:numPr>
      </w:pPr>
      <w:r>
        <w:t xml:space="preserve">Full-year Core FFO guidance is raised or reaffirmed with better underlying assumptions.</w:t>
      </w:r>
    </w:p>
    <w:p>
      <w:pPr>
        <w:pStyle w:val="Compact"/>
        <w:numPr>
          <w:ilvl w:val="0"/>
          <w:numId w:val="1016"/>
        </w:numPr>
      </w:pPr>
      <w:r>
        <w:t xml:space="preserve">0–1 MW and interconnection bookings remain near recent record levels.</w:t>
      </w:r>
    </w:p>
    <w:p>
      <w:pPr>
        <w:pStyle w:val="Compact"/>
        <w:numPr>
          <w:ilvl w:val="0"/>
          <w:numId w:val="1016"/>
        </w:numPr>
      </w:pPr>
      <w:r>
        <w:t xml:space="preserve">Backlog stays around $1 billion at DLR’s share after healthy commencements.</w:t>
      </w:r>
    </w:p>
    <w:p>
      <w:pPr>
        <w:pStyle w:val="Compact"/>
        <w:numPr>
          <w:ilvl w:val="0"/>
          <w:numId w:val="1016"/>
        </w:numPr>
      </w:pPr>
      <w:r>
        <w:t xml:space="preserve">Constant-currency same-capital NOI growth accelerates toward 4%–5%.</w:t>
      </w:r>
    </w:p>
    <w:p>
      <w:pPr>
        <w:pStyle w:val="Compact"/>
        <w:numPr>
          <w:ilvl w:val="0"/>
          <w:numId w:val="1016"/>
        </w:numPr>
      </w:pPr>
      <w:r>
        <w:t xml:space="preserve">Renewal spreads improve.</w:t>
      </w:r>
    </w:p>
    <w:p>
      <w:pPr>
        <w:pStyle w:val="Compact"/>
        <w:numPr>
          <w:ilvl w:val="0"/>
          <w:numId w:val="1016"/>
        </w:numPr>
      </w:pPr>
      <w:r>
        <w:t xml:space="preserve">Development yields remain around 11% with no material delays.</w:t>
      </w:r>
    </w:p>
    <w:p>
      <w:pPr>
        <w:pStyle w:val="Compact"/>
        <w:numPr>
          <w:ilvl w:val="0"/>
          <w:numId w:val="1016"/>
        </w:numPr>
      </w:pPr>
      <w:r>
        <w:t xml:space="preserve">Management demonstrates that recent transactions are compatible with leverage and per-share growth targets.</w:t>
      </w:r>
    </w:p>
    <w:bookmarkEnd w:id="21"/>
    <w:bookmarkStart w:id="22" w:name="neutral-outcome"/>
    <w:p>
      <w:pPr>
        <w:pStyle w:val="Heading3"/>
      </w:pPr>
      <w:r>
        <w:t xml:space="preserve">Neutral outcome</w:t>
      </w:r>
    </w:p>
    <w:p>
      <w:pPr>
        <w:pStyle w:val="Compact"/>
        <w:numPr>
          <w:ilvl w:val="0"/>
          <w:numId w:val="1017"/>
        </w:numPr>
      </w:pPr>
      <w:r>
        <w:t xml:space="preserve">Core FFO declines sequentially as previously indicated.</w:t>
      </w:r>
    </w:p>
    <w:p>
      <w:pPr>
        <w:pStyle w:val="Compact"/>
        <w:numPr>
          <w:ilvl w:val="0"/>
          <w:numId w:val="1017"/>
        </w:numPr>
      </w:pPr>
      <w:r>
        <w:t xml:space="preserve">Guidance is reaffirmed.</w:t>
      </w:r>
    </w:p>
    <w:p>
      <w:pPr>
        <w:pStyle w:val="Compact"/>
        <w:numPr>
          <w:ilvl w:val="0"/>
          <w:numId w:val="1017"/>
        </w:numPr>
      </w:pPr>
      <w:r>
        <w:t xml:space="preserve">Total bookings fall sharply from the record 1Q level, but diversified demand and pricing remain healthy.</w:t>
      </w:r>
    </w:p>
    <w:p>
      <w:pPr>
        <w:pStyle w:val="Compact"/>
        <w:numPr>
          <w:ilvl w:val="0"/>
          <w:numId w:val="1017"/>
        </w:numPr>
      </w:pPr>
      <w:r>
        <w:t xml:space="preserve">Same-capital growth improves only modestly.</w:t>
      </w:r>
    </w:p>
    <w:p>
      <w:pPr>
        <w:pStyle w:val="Compact"/>
        <w:numPr>
          <w:ilvl w:val="0"/>
          <w:numId w:val="1017"/>
        </w:numPr>
      </w:pPr>
      <w:r>
        <w:t xml:space="preserve">Recent acquisitions increase complexity but do not materially change the 2026 outlook.</w:t>
      </w:r>
    </w:p>
    <w:bookmarkEnd w:id="22"/>
    <w:bookmarkStart w:id="23" w:name="bearish-outcome"/>
    <w:p>
      <w:pPr>
        <w:pStyle w:val="Heading3"/>
      </w:pPr>
      <w:r>
        <w:t xml:space="preserve">Bearish outcome</w:t>
      </w:r>
    </w:p>
    <w:p>
      <w:pPr>
        <w:pStyle w:val="Compact"/>
        <w:numPr>
          <w:ilvl w:val="0"/>
          <w:numId w:val="1018"/>
        </w:numPr>
      </w:pPr>
      <w:r>
        <w:t xml:space="preserve">Core FFO guidance is reduced or the second-half ramp is pushed out.</w:t>
      </w:r>
    </w:p>
    <w:p>
      <w:pPr>
        <w:pStyle w:val="Compact"/>
        <w:numPr>
          <w:ilvl w:val="0"/>
          <w:numId w:val="1018"/>
        </w:numPr>
      </w:pPr>
      <w:r>
        <w:t xml:space="preserve">Weak bookings extend beyond normalization from the Charlotte comparison.</w:t>
      </w:r>
    </w:p>
    <w:p>
      <w:pPr>
        <w:pStyle w:val="Compact"/>
        <w:numPr>
          <w:ilvl w:val="0"/>
          <w:numId w:val="1018"/>
        </w:numPr>
      </w:pPr>
      <w:r>
        <w:t xml:space="preserve">0–1 MW or interconnection demand slows.</w:t>
      </w:r>
    </w:p>
    <w:p>
      <w:pPr>
        <w:pStyle w:val="Compact"/>
        <w:numPr>
          <w:ilvl w:val="0"/>
          <w:numId w:val="1018"/>
        </w:numPr>
      </w:pPr>
      <w:r>
        <w:t xml:space="preserve">Backlog commencements are delayed.</w:t>
      </w:r>
    </w:p>
    <w:p>
      <w:pPr>
        <w:pStyle w:val="Compact"/>
        <w:numPr>
          <w:ilvl w:val="0"/>
          <w:numId w:val="1018"/>
        </w:numPr>
      </w:pPr>
      <w:r>
        <w:t xml:space="preserve">Same-capital NOI growth remains near the 1Q rate, putting the annual target at risk.</w:t>
      </w:r>
    </w:p>
    <w:p>
      <w:pPr>
        <w:pStyle w:val="Compact"/>
        <w:numPr>
          <w:ilvl w:val="0"/>
          <w:numId w:val="1018"/>
        </w:numPr>
      </w:pPr>
      <w:r>
        <w:t xml:space="preserve">Development costs rise while expected yields decline.</w:t>
      </w:r>
    </w:p>
    <w:p>
      <w:pPr>
        <w:pStyle w:val="Compact"/>
        <w:numPr>
          <w:ilvl w:val="0"/>
          <w:numId w:val="1018"/>
        </w:numPr>
      </w:pPr>
      <w:r>
        <w:t xml:space="preserve">Leverage increases more than anticipated, prompting further equity issuance.</w:t>
      </w:r>
    </w:p>
    <w:p>
      <w:pPr>
        <w:pStyle w:val="Compact"/>
        <w:numPr>
          <w:ilvl w:val="0"/>
          <w:numId w:val="1018"/>
        </w:numPr>
      </w:pPr>
      <w:r>
        <w:t xml:space="preserve">Management cannot clearly demonstrate accretion from the Blackstone transaction and other investments.</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DLR’s demand environment appears exceptionally strong, and the company has accumulated a record backlog, a large powered development pipeline, and valuable positions in supply-constrained markets. The 2Q report does not need to reproduce 1Q’s record bookings to support the investment thesis.</w:t>
      </w:r>
    </w:p>
    <w:p>
      <w:pPr>
        <w:pStyle w:val="BodyText"/>
      </w:pPr>
      <w:r>
        <w:t xml:space="preserve">The central question is now</w:t>
      </w:r>
      <w:r>
        <w:t xml:space="preserve"> </w:t>
      </w:r>
      <w:r>
        <w:rPr>
          <w:b/>
          <w:bCs/>
        </w:rPr>
        <w:t xml:space="preserve">per-share execution</w:t>
      </w:r>
      <w:r>
        <w:t xml:space="preserve">. Investors should focus on whether DLR can:</w:t>
      </w:r>
    </w:p>
    <w:p>
      <w:pPr>
        <w:pStyle w:val="Compact"/>
        <w:numPr>
          <w:ilvl w:val="0"/>
          <w:numId w:val="1019"/>
        </w:numPr>
      </w:pPr>
      <w:r>
        <w:t xml:space="preserve">Sustain broad-based leasing outside a few very large hyperscale contracts.</w:t>
      </w:r>
    </w:p>
    <w:p>
      <w:pPr>
        <w:pStyle w:val="Compact"/>
        <w:numPr>
          <w:ilvl w:val="0"/>
          <w:numId w:val="1019"/>
        </w:numPr>
      </w:pPr>
      <w:r>
        <w:t xml:space="preserve">Convert backlog into revenue on schedule.</w:t>
      </w:r>
    </w:p>
    <w:p>
      <w:pPr>
        <w:pStyle w:val="Compact"/>
        <w:numPr>
          <w:ilvl w:val="0"/>
          <w:numId w:val="1019"/>
        </w:numPr>
      </w:pPr>
      <w:r>
        <w:t xml:space="preserve">Accelerate same-capital NOI growth.</w:t>
      </w:r>
    </w:p>
    <w:p>
      <w:pPr>
        <w:pStyle w:val="Compact"/>
        <w:numPr>
          <w:ilvl w:val="0"/>
          <w:numId w:val="1019"/>
        </w:numPr>
      </w:pPr>
      <w:r>
        <w:t xml:space="preserve">Preserve double-digit development returns.</w:t>
      </w:r>
    </w:p>
    <w:p>
      <w:pPr>
        <w:pStyle w:val="Compact"/>
        <w:numPr>
          <w:ilvl w:val="0"/>
          <w:numId w:val="1019"/>
        </w:numPr>
      </w:pPr>
      <w:r>
        <w:t xml:space="preserve">Fund its rapidly expanding platform without allowing dilution and financing costs to absorb the operating upside.</w:t>
      </w:r>
    </w:p>
    <w:p>
      <w:pPr>
        <w:pStyle w:val="FirstParagraph"/>
      </w:pPr>
      <w:r>
        <w:t xml:space="preserve">With the shares closing at</w:t>
      </w:r>
      <w:r>
        <w:t xml:space="preserve"> </w:t>
      </w:r>
      <w:r>
        <w:rPr>
          <w:b/>
          <w:bCs/>
        </w:rPr>
        <w:t xml:space="preserve">$178.44 on July 22</w:t>
      </w:r>
      <w:r>
        <w:t xml:space="preserve">, roughly 11% below their level around the 1Q report, expectations appear less elevated than they were three months ago. A clean operating quarter with stable guidance and credible balance-sheet commentary could therefore be enough for a favorable reaction; another spectacular leasing number is not required.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2026-07-23T01:07:48Z</dcterms:created>
  <dcterms:modified xsi:type="dcterms:W3CDTF">2026-07-23T01:07:48Z</dcterms:modified>
</cp:coreProperties>
</file>

<file path=docProps/custom.xml><?xml version="1.0" encoding="utf-8"?>
<Properties xmlns="http://schemas.openxmlformats.org/officeDocument/2006/custom-properties" xmlns:vt="http://schemas.openxmlformats.org/officeDocument/2006/docPropsVTypes"/>
</file>