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69902f14beadcda7ba7ef24935eadc79367304"/>
    <w:p>
      <w:pPr>
        <w:pStyle w:val="Heading1"/>
      </w:pPr>
      <w:r>
        <w:t xml:space="preserve">Digital Realty (NYSE: DLR) — 2Q26 Earnings Preview</w:t>
      </w:r>
    </w:p>
    <w:p>
      <w:pPr>
        <w:pStyle w:val="BlockText"/>
      </w:pPr>
      <w:r>
        <w:rPr>
          <w:b/>
          <w:bCs/>
        </w:rPr>
        <w:t xml:space="preserve">Timing correction:</w:t>
      </w:r>
      <w:r>
        <w:t xml:space="preserve"> </w:t>
      </w:r>
      <w:r>
        <w:t xml:space="preserve">Digital Realty reports</w:t>
      </w:r>
      <w:r>
        <w:t xml:space="preserve"> </w:t>
      </w:r>
      <w:r>
        <w:rPr>
          <w:b/>
          <w:bCs/>
        </w:rPr>
        <w:t xml:space="preserve">today, Thursday, July 23, 2026</w:t>
      </w:r>
      <w:r>
        <w:t xml:space="preserve">, after the market close, with its conference call at</w:t>
      </w:r>
      <w:r>
        <w:t xml:space="preserve"> </w:t>
      </w:r>
      <w:r>
        <w:rPr>
          <w:b/>
          <w:bCs/>
        </w:rPr>
        <w:t xml:space="preserve">5:00 p.m. ET</w:t>
      </w:r>
      <w:r>
        <w:t xml:space="preserve">. This is the</w:t>
      </w:r>
      <w:r>
        <w:t xml:space="preserve"> </w:t>
      </w:r>
      <w:r>
        <w:rPr>
          <w:b/>
          <w:bCs/>
        </w:rPr>
        <w:t xml:space="preserve">2026Q2</w:t>
      </w:r>
      <w:r>
        <w:t xml:space="preserve"> </w:t>
      </w:r>
      <w:r>
        <w:t xml:space="preserve">report, not a July 24 event.</w:t>
      </w:r>
    </w:p>
    <w:bookmarkStart w:id="9" w:name="Xfb90984621ff4d8b3fa51ae5c60363f248e185b"/>
    <w:p>
      <w:pPr>
        <w:pStyle w:val="Heading2"/>
      </w:pPr>
      <w:r>
        <w:t xml:space="preserve">Investment view: execution remains strong; the debate has shifted to capital intensity and per-share returns</w:t>
      </w:r>
    </w:p>
    <w:p>
      <w:pPr>
        <w:pStyle w:val="FirstParagraph"/>
      </w:pPr>
      <w:r>
        <w:t xml:space="preserve">Digital Realty enters 2Q with operating momentum unusually strong for a REIT: record leasing, an expanding backlog, high development pre-leasing, improving enterprise/colocation demand, and a very favorable supply-demand backdrop for capacity in power-constrained data-center markets. The central issue for investors is less whether demand exists and more whether DLR can convert that demand into durable</w:t>
      </w:r>
      <w:r>
        <w:t xml:space="preserve"> </w:t>
      </w:r>
      <w:r>
        <w:rPr>
          <w:b/>
          <w:bCs/>
        </w:rPr>
        <w:t xml:space="preserve">per-share</w:t>
      </w:r>
      <w:r>
        <w:t xml:space="preserve"> </w:t>
      </w:r>
      <w:r>
        <w:t xml:space="preserve">growth while financing an exceptionally large development program and the recently announced Northern Virginia JV buyout.</w:t>
      </w:r>
    </w:p>
    <w:p>
      <w:pPr>
        <w:pStyle w:val="BodyText"/>
      </w:pPr>
      <w:r>
        <w:t xml:space="preserve">The stock closed at</w:t>
      </w:r>
      <w:r>
        <w:t xml:space="preserve"> </w:t>
      </w:r>
      <m:oMath>
        <m:r>
          <m:t>178.44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22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11</m:t>
        </m:r>
      </m:oMath>
      <w:r>
        <w:rPr>
          <w:b/>
          <w:bCs/>
        </w:rPr>
        <w:t xml:space="preserve">185</w:t>
      </w:r>
      <w:r>
        <w:t xml:space="preserve"> </w:t>
      </w:r>
      <w:r>
        <w:t xml:space="preserve">price of Blackstone’s July 1 secondary offering. That performance suggests the market is already discounting some combination of equity dilution, incremental development and execution risk, and a potentially more cautious view of data-center/AI infrastructure valuations. A clean 2Q report could therefore be more about restoring confidence in the funding-and-growth algorithm than simply beating quarterly Core FFO.</w:t>
      </w:r>
    </w:p>
    <w:bookmarkEnd w:id="9"/>
    <w:bookmarkStart w:id="15" w:name="what-matters-most-this-quarter"/>
    <w:p>
      <w:pPr>
        <w:pStyle w:val="Heading2"/>
      </w:pPr>
      <w:r>
        <w:t xml:space="preserve">What matters most this quarter</w:t>
      </w:r>
    </w:p>
    <w:bookmarkStart w:id="10" w:name="X05b062743c672762b96c270c8cb76039aa6779d"/>
    <w:p>
      <w:pPr>
        <w:pStyle w:val="Heading3"/>
      </w:pPr>
      <w:r>
        <w:t xml:space="preserve">1. Leasing: can DLR sustain a record 1Q pace?</w:t>
      </w:r>
    </w:p>
    <w:p>
      <w:pPr>
        <w:pStyle w:val="FirstParagraph"/>
      </w:pPr>
      <w:r>
        <w:t xml:space="preserve">DLR’s 1Q leasing was exceptional: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1Q26 operating 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Result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New leasing, 100% share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$707M</w:t>
            </w:r>
            <w:r>
              <w:t xml:space="preserve"> </w:t>
            </w:r>
            <w:r>
              <w:t xml:space="preserve">annualized GAAP rent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New leasing, DLR share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$423M</w:t>
            </w:r>
          </w:p>
        </w:tc>
      </w:tr>
      <w:tr>
        <w:tc>
          <w:tcPr/>
          <w:p>
            <w:pPr>
              <w:pStyle w:val="Compact"/>
            </w:pPr>
            <w:r>
              <w:t xml:space="preserve">0–1 MW plus interconnection bookings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$98M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signed-but-not-commenced backlog, 100% share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$1.8B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Backlog, DLR share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Weighted-average sign-to-commencement lag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19 months</w:t>
            </w:r>
          </w:p>
        </w:tc>
      </w:tr>
    </w:tbl>
    <w:p>
      <w:pPr>
        <w:pStyle w:val="BodyText"/>
      </w:pPr>
      <w:r>
        <w:t xml:space="preserve">The headline 1Q booking number included a</w:t>
      </w:r>
      <w:r>
        <w:t xml:space="preserve"> </w:t>
      </w:r>
      <w:r>
        <w:rPr>
          <w:b/>
          <w:bCs/>
        </w:rPr>
        <w:t xml:space="preserve">200 MW AI-inference-oriented Charlotte lease</w:t>
      </w:r>
      <w:r>
        <w:t xml:space="preserve">, the largest in company history. A repeat is not necessary for a good 2Q result. But investors will want evidence that leasing remains broad-based across: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0–1 MW colocation and interconnection</w:t>
      </w:r>
      <w:r>
        <w:t xml:space="preserve">, which offers shorter-duration, nearer-term earnings conversion and supports DLR’s enterprise growth narrative;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large hyperscale requirements</w:t>
      </w:r>
      <w:r>
        <w:t xml:space="preserve"> </w:t>
      </w:r>
      <w:r>
        <w:t xml:space="preserve">across Northern Virginia, Dallas, Atlanta, Charlotte, Chicago, and international markets;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AI-related demand</w:t>
      </w:r>
      <w:r>
        <w:t xml:space="preserve">, especially whether enterprise AI continues shifting from pilot deployments to committed production capacity; and</w:t>
      </w:r>
    </w:p>
    <w:p>
      <w:pPr>
        <w:pStyle w:val="Compact"/>
        <w:numPr>
          <w:ilvl w:val="0"/>
          <w:numId w:val="1001"/>
        </w:numPr>
      </w:pPr>
      <w:r>
        <w:t xml:space="preserve">pricing and contract quality—particularly lease term, escalators, customer credit, liquid-cooling requirements, and the timing/certainty of utility delivery.</w:t>
      </w:r>
    </w:p>
    <w:p>
      <w:pPr>
        <w:pStyle w:val="FirstParagraph"/>
      </w:pPr>
      <w:r>
        <w:rPr>
          <w:b/>
          <w:bCs/>
        </w:rPr>
        <w:t xml:space="preserve">Preview framing:</w:t>
      </w:r>
      <w:r>
        <w:t xml:space="preserve"> </w:t>
      </w:r>
      <w:r>
        <w:t xml:space="preserve">Another very large leasing quarter would reinforce the view that DLR’s backlog and development pipeline can keep expanding. A more ordinary quarter would not necessarily break the thesis, but management needs to explain whether it reflects timing or a genuine moderation in hyperscale commitments.</w:t>
      </w:r>
    </w:p>
    <w:bookmarkEnd w:id="10"/>
    <w:bookmarkStart w:id="11" w:name="Xe0b4e319de6234130632938fc358a9a3c9b8195"/>
    <w:p>
      <w:pPr>
        <w:pStyle w:val="Heading3"/>
      </w:pPr>
      <w:r>
        <w:t xml:space="preserve">2. Backlog conversion and near-term earnings visibility</w:t>
      </w:r>
    </w:p>
    <w:p>
      <w:pPr>
        <w:pStyle w:val="FirstParagraph"/>
      </w:pPr>
      <w:r>
        <w:t xml:space="preserve">At the end of 1Q, management expected approximately</w:t>
      </w:r>
      <w:r>
        <w:t xml:space="preserve"> </w:t>
      </w:r>
      <m:oMath>
        <m:r>
          <m:t>544</m:t>
        </m:r>
        <m:r>
          <m:t>M</m:t>
        </m:r>
        <m:r>
          <m:t>o</m:t>
        </m:r>
        <m:r>
          <m:t>f</m:t>
        </m:r>
        <m:r>
          <m:t>D</m:t>
        </m:r>
        <m:r>
          <m:t>L</m:t>
        </m:r>
        <m:r>
          <m:t>R</m:t>
        </m:r>
        <m:r>
          <m:rPr>
            <m:sty m:val="p"/>
          </m:rPr>
          <m:t>−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b</m:t>
        </m:r>
        <m:r>
          <m:t>a</m:t>
        </m:r>
        <m:r>
          <m:t>c</m:t>
        </m:r>
        <m:r>
          <m:t>k</m:t>
        </m:r>
        <m:r>
          <m:t>l</m:t>
        </m:r>
        <m:r>
          <m:t>o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o</m:t>
        </m:r>
        <m:r>
          <m:t>c</m:t>
        </m:r>
        <m:r>
          <m:t>o</m:t>
        </m:r>
        <m:r>
          <m:t>m</m:t>
        </m:r>
        <m:r>
          <m:t>m</m:t>
        </m:r>
        <m:r>
          <m:t>e</m:t>
        </m:r>
        <m:r>
          <m:t>n</m:t>
        </m:r>
        <m:r>
          <m:t>c</m:t>
        </m:r>
        <m:r>
          <m:t>e</m:t>
        </m:r>
        <m:r>
          <m:t>d</m:t>
        </m:r>
        <m:r>
          <m:t>u</m:t>
        </m:r>
        <m:r>
          <m:t>r</m:t>
        </m:r>
        <m:r>
          <m:t>i</m:t>
        </m:r>
        <m:r>
          <m:t>n</m:t>
        </m:r>
        <m:r>
          <m:t>g</m:t>
        </m:r>
        <m:r>
          <m:t>2026</m:t>
        </m:r>
        <m:r>
          <m:rPr>
            <m:sty m:val="p"/>
          </m:rPr>
          <m:t>,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247M in 2027</w:t>
      </w:r>
      <w:r>
        <w:t xml:space="preserve">, and</w:t>
      </w:r>
      <w:r>
        <w:t xml:space="preserve"> </w:t>
      </w:r>
      <w:r>
        <w:rPr>
          <w:b/>
          <w:bCs/>
        </w:rPr>
        <w:t xml:space="preserve">$242M in 2028 and beyond</w:t>
      </w:r>
      <w:r>
        <w:t xml:space="preserve">. This is the bridge from today’s leasing success to Core FFO growth.</w:t>
      </w:r>
    </w:p>
    <w:p>
      <w:pPr>
        <w:pStyle w:val="BodyText"/>
      </w:pPr>
      <w:r>
        <w:t xml:space="preserve">For 2Q, the most valuable disclosure will be:</w:t>
      </w:r>
    </w:p>
    <w:p>
      <w:pPr>
        <w:pStyle w:val="Compact"/>
        <w:numPr>
          <w:ilvl w:val="0"/>
          <w:numId w:val="1002"/>
        </w:numPr>
      </w:pPr>
      <w:r>
        <w:t xml:space="preserve">How much backlog commenced in the quarter;</w:t>
      </w:r>
    </w:p>
    <w:p>
      <w:pPr>
        <w:pStyle w:val="Compact"/>
        <w:numPr>
          <w:ilvl w:val="0"/>
          <w:numId w:val="1002"/>
        </w:numPr>
      </w:pPr>
      <w:r>
        <w:t xml:space="preserve">Whether the</w:t>
      </w:r>
      <w:r>
        <w:t xml:space="preserve"> </w:t>
      </w:r>
      <w:r>
        <w:rPr>
          <w:b/>
          <w:bCs/>
        </w:rPr>
        <w:t xml:space="preserve">$544M scheduled for 2026</w:t>
      </w:r>
      <w:r>
        <w:t xml:space="preserve"> </w:t>
      </w:r>
      <w:r>
        <w:t xml:space="preserve">remains intact;</w:t>
      </w:r>
    </w:p>
    <w:p>
      <w:pPr>
        <w:pStyle w:val="Compact"/>
        <w:numPr>
          <w:ilvl w:val="0"/>
          <w:numId w:val="1002"/>
        </w:numPr>
      </w:pPr>
      <w:r>
        <w:t xml:space="preserve">Whether construction schedules, equipment availability, or utility energization have altered commencement timing;</w:t>
      </w:r>
    </w:p>
    <w:p>
      <w:pPr>
        <w:pStyle w:val="Compact"/>
        <w:numPr>
          <w:ilvl w:val="0"/>
          <w:numId w:val="1002"/>
        </w:numPr>
      </w:pPr>
      <w:r>
        <w:t xml:space="preserve">The extent to which new bookings increased backlog faster than commencements reduced it.</w:t>
      </w:r>
    </w:p>
    <w:p>
      <w:pPr>
        <w:pStyle w:val="FirstParagraph"/>
      </w:pPr>
      <w:r>
        <w:t xml:space="preserve">A high backlog is a strength only if it can be delivered on time and within budget. With an average 19-month sign-to-commencement lag in 1Q, a substantial portion of the upside is weighted to 2027–28 rather than immediate 2026 earnings.</w:t>
      </w:r>
    </w:p>
    <w:bookmarkEnd w:id="11"/>
    <w:bookmarkStart w:id="12" w:name="X51fa3cde293e8cee7bf5dd5c8bee51987d73312"/>
    <w:p>
      <w:pPr>
        <w:pStyle w:val="Heading3"/>
      </w:pPr>
      <w:r>
        <w:t xml:space="preserve">3. Development: high returns and pre-leasing must survive a much larger build program</w:t>
      </w:r>
    </w:p>
    <w:p>
      <w:pPr>
        <w:pStyle w:val="FirstParagraph"/>
      </w:pPr>
      <w:r>
        <w:t xml:space="preserve">DLR finished 1Q with</w:t>
      </w:r>
      <w:r>
        <w:t xml:space="preserve"> </w:t>
      </w:r>
      <w:r>
        <w:rPr>
          <w:b/>
          <w:bCs/>
        </w:rPr>
        <w:t xml:space="preserve">1.17 GW under construction</w:t>
      </w:r>
      <w:r>
        <w:t xml:space="preserve">,</w:t>
      </w:r>
      <w:r>
        <w:t xml:space="preserve"> </w:t>
      </w:r>
      <w:r>
        <w:rPr>
          <w:b/>
          <w:bCs/>
        </w:rPr>
        <w:t xml:space="preserve">61% pre-leased</w:t>
      </w:r>
      <w:r>
        <w:t xml:space="preserve">, at an estimated</w:t>
      </w:r>
      <w:r>
        <w:t xml:space="preserve"> </w:t>
      </w:r>
      <w:r>
        <w:rPr>
          <w:b/>
          <w:bCs/>
        </w:rPr>
        <w:t xml:space="preserve">11.4% average stabilized yield</w:t>
      </w:r>
      <w:r>
        <w:t xml:space="preserve">. The gross development pipeline was</w:t>
      </w:r>
      <w:r>
        <w:t xml:space="preserve"> </w:t>
      </w:r>
      <m:oMath>
        <m:r>
          <m:t>16.5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m</m:t>
        </m:r>
        <m:r>
          <m:t>o</m:t>
        </m:r>
        <m:r>
          <m:t>r</m:t>
        </m:r>
        <m:r>
          <m:t>e</m:t>
        </m:r>
        <m:r>
          <m:t>t</m:t>
        </m:r>
        <m:r>
          <m:t>h</m:t>
        </m:r>
        <m:r>
          <m:t>a</m:t>
        </m:r>
        <m:r>
          <m:t>n</m:t>
        </m:r>
        <m:r>
          <m:t>60</m:t>
        </m:r>
      </m:oMath>
      <w:r>
        <w:rPr>
          <w:b/>
          <w:bCs/>
        </w:rPr>
        <w:t xml:space="preserve">3.5B–$4.0B</w:t>
      </w:r>
      <w:r>
        <w:t xml:space="preserve"> </w:t>
      </w:r>
      <w:r>
        <w:t xml:space="preserve">of 2026 development CapEx net of partner contributions.</w:t>
      </w:r>
    </w:p>
    <w:p>
      <w:pPr>
        <w:pStyle w:val="BodyText"/>
      </w:pPr>
      <w:r>
        <w:t xml:space="preserve">This is the core long-term upside, but it is also the principal risk. Investors should focus on four questions: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Has pre-leasing remained at or near 60%?</w:t>
      </w:r>
      <w:r>
        <w:br/>
      </w:r>
      <w:r>
        <w:t xml:space="preserve">Strong leasing plus a high pre-leasing percentage would validate the decision to accelerate development.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Are stabilized yields holding above 10%?</w:t>
      </w:r>
      <w:r>
        <w:br/>
      </w:r>
      <w:r>
        <w:t xml:space="preserve">DLR has acknowledged higher land, labor, supply-chain, and cooling-infrastructure costs. The investment case depends on rents growing at least as fast as development costs.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Has cost per MW risen further?</w:t>
      </w:r>
      <w:r>
        <w:br/>
      </w:r>
      <w:r>
        <w:t xml:space="preserve">Management said the Americas development basis had risen toward roughly</w:t>
      </w:r>
      <w:r>
        <w:t xml:space="preserve"> </w:t>
      </w:r>
      <w:r>
        <w:rPr>
          <w:b/>
          <w:bCs/>
        </w:rPr>
        <w:t xml:space="preserve">$14M/MW</w:t>
      </w:r>
      <w:r>
        <w:t xml:space="preserve">, from approximately</w:t>
      </w:r>
      <w:r>
        <w:t xml:space="preserve"> </w:t>
      </w:r>
      <m:oMath>
        <m:r>
          <m:t>10</m:t>
        </m:r>
        <m:r>
          <m:t>M</m:t>
        </m:r>
        <m:r>
          <m:rPr>
            <m:sty m:val="p"/>
          </m:rPr>
          <m:t>–</m:t>
        </m:r>
      </m:oMath>
      <w:r>
        <w:t xml:space="preserve">11M/MW historically. That is manageable if rents and returns hold, but problematic if cost inflation accelerates without corresponding pricing power.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Are power and construction schedules intact?</w:t>
      </w:r>
      <w:r>
        <w:br/>
      </w:r>
      <w:r>
        <w:t xml:space="preserve">The market will scrutinize project-level timing, particularly Northern Virginia, Charlotte, Atlanta, and new hyperscale markets. DLR’s competitive advantage is increasingly its ability to obtain power, deliver capacity, and manage complex projects—not merely own land.</w:t>
      </w:r>
    </w:p>
    <w:bookmarkEnd w:id="12"/>
    <w:bookmarkStart w:id="13" w:name="X39cfe65ec47a62c3f07f6d8cf44e497abbe5082"/>
    <w:p>
      <w:pPr>
        <w:pStyle w:val="Heading3"/>
      </w:pPr>
      <w:r>
        <w:t xml:space="preserve">4. The Blackstone JV acquisition changes the capital-allocation debate</w:t>
      </w:r>
    </w:p>
    <w:p>
      <w:pPr>
        <w:pStyle w:val="FirstParagraph"/>
      </w:pPr>
      <w:r>
        <w:t xml:space="preserve">The largest new development since 1Q is DLR’s acquisition of Blackstone’s interests in the</w:t>
      </w:r>
      <w:r>
        <w:t xml:space="preserve"> </w:t>
      </w:r>
      <w:r>
        <w:rPr>
          <w:b/>
          <w:bCs/>
        </w:rPr>
        <w:t xml:space="preserve">Digital Carver Dulles 9 and Digital Carver Brickyard</w:t>
      </w:r>
      <w:r>
        <w:t xml:space="preserve"> </w:t>
      </w:r>
      <w:r>
        <w:t xml:space="preserve">joint ventures, completed June 30.</w:t>
      </w:r>
    </w:p>
    <w:p>
      <w:pPr>
        <w:pStyle w:val="BodyText"/>
      </w:pPr>
      <w:r>
        <w:t xml:space="preserve">The transaction gives DLR full ownership of three Northern Virginia hyperscale facilities totaling</w:t>
      </w:r>
      <w:r>
        <w:t xml:space="preserve"> </w:t>
      </w:r>
      <w:r>
        <w:rPr>
          <w:b/>
          <w:bCs/>
        </w:rPr>
        <w:t xml:space="preserve">288 MW</w:t>
      </w:r>
      <w:r>
        <w:t xml:space="preserve"> </w:t>
      </w:r>
      <w:r>
        <w:t xml:space="preserve">of expected critical IT capacity. The assets are: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100% leased</w:t>
      </w:r>
      <w:r>
        <w:t xml:space="preserve"> </w:t>
      </w:r>
      <w:r>
        <w:t xml:space="preserve">to three distinct investment-grade hyperscale customers;</w:t>
      </w:r>
    </w:p>
    <w:p>
      <w:pPr>
        <w:pStyle w:val="Compact"/>
        <w:numPr>
          <w:ilvl w:val="0"/>
          <w:numId w:val="1004"/>
        </w:numPr>
      </w:pPr>
      <w:r>
        <w:t xml:space="preserve">supported by</w:t>
      </w:r>
      <w:r>
        <w:t xml:space="preserve"> </w:t>
      </w:r>
      <w:r>
        <w:rPr>
          <w:b/>
          <w:bCs/>
        </w:rPr>
        <w:t xml:space="preserve">15-year leases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carrying a blended</w:t>
      </w:r>
      <w:r>
        <w:t xml:space="preserve"> </w:t>
      </w:r>
      <w:r>
        <w:rPr>
          <w:b/>
          <w:bCs/>
        </w:rPr>
        <w:t xml:space="preserve">Aa3/AA-</w:t>
      </w:r>
      <w:r>
        <w:t xml:space="preserve"> </w:t>
      </w:r>
      <w:r>
        <w:t xml:space="preserve">customer-credit profile;</w:t>
      </w:r>
    </w:p>
    <w:p>
      <w:pPr>
        <w:pStyle w:val="Compact"/>
        <w:numPr>
          <w:ilvl w:val="0"/>
          <w:numId w:val="1004"/>
        </w:numPr>
      </w:pPr>
      <w:r>
        <w:t xml:space="preserve">structured with</w:t>
      </w:r>
      <w:r>
        <w:t xml:space="preserve"> </w:t>
      </w:r>
      <w:r>
        <w:rPr>
          <w:b/>
          <w:bCs/>
        </w:rPr>
        <w:t xml:space="preserve">3.6% annual rent escalators</w:t>
      </w:r>
      <w:r>
        <w:t xml:space="preserve">; and</w:t>
      </w:r>
    </w:p>
    <w:p>
      <w:pPr>
        <w:pStyle w:val="Compact"/>
        <w:numPr>
          <w:ilvl w:val="0"/>
          <w:numId w:val="1004"/>
        </w:numPr>
      </w:pPr>
      <w:r>
        <w:t xml:space="preserve">expected to stabilize in</w:t>
      </w:r>
      <w:r>
        <w:t xml:space="preserve"> </w:t>
      </w:r>
      <w:r>
        <w:rPr>
          <w:b/>
          <w:bCs/>
        </w:rPr>
        <w:t xml:space="preserve">1H27</w:t>
      </w:r>
      <w:r>
        <w:t xml:space="preserve"> </w:t>
      </w:r>
      <w:r>
        <w:t xml:space="preserve">for two facilities and</w:t>
      </w:r>
      <w:r>
        <w:t xml:space="preserve"> </w:t>
      </w:r>
      <w:r>
        <w:rPr>
          <w:b/>
          <w:bCs/>
        </w:rPr>
        <w:t xml:space="preserve">1H28</w:t>
      </w:r>
      <w:r>
        <w:t xml:space="preserve"> </w:t>
      </w:r>
      <w:r>
        <w:t xml:space="preserve">for the third.</w:t>
      </w:r>
    </w:p>
    <w:p>
      <w:pPr>
        <w:pStyle w:val="FirstParagraph"/>
      </w:pPr>
      <w:r>
        <w:t xml:space="preserve">DLR characterized the gross value—including assumed debt and estimated remaining development spend—at</w:t>
      </w:r>
      <w:r>
        <w:t xml:space="preserve"> </w:t>
      </w:r>
      <w:r>
        <w:rPr>
          <w:b/>
          <w:bCs/>
        </w:rPr>
        <w:t xml:space="preserve">$7.8B</w:t>
      </w:r>
      <w:r>
        <w:t xml:space="preserve">, with an expected initial stabilized cap rate above</w:t>
      </w:r>
      <w:r>
        <w:t xml:space="preserve"> </w:t>
      </w:r>
      <w:r>
        <w:rPr>
          <w:b/>
          <w:bCs/>
        </w:rPr>
        <w:t xml:space="preserve">6.5%</w:t>
      </w:r>
      <w:r>
        <w:t xml:space="preserve">. The company expects the transaction to be leverage-neutral and accretive to Core FFO per share in 2027 and 2028.</w:t>
      </w:r>
    </w:p>
    <w:p>
      <w:pPr>
        <w:pStyle w:val="BodyText"/>
      </w:pPr>
      <w:r>
        <w:rPr>
          <w:b/>
          <w:bCs/>
        </w:rPr>
        <w:t xml:space="preserve">Why investors may like it:</w:t>
      </w:r>
      <w:r>
        <w:t xml:space="preserve"> </w:t>
      </w:r>
      <w:r>
        <w:t xml:space="preserve">It increases exposure to newly built, fully leased, long-duration hyperscale capacity in Northern Virginia, arguably the world’s most strategic data-center market.</w:t>
      </w:r>
    </w:p>
    <w:p>
      <w:pPr>
        <w:pStyle w:val="BodyText"/>
      </w:pPr>
      <w:r>
        <w:rPr>
          <w:b/>
          <w:bCs/>
        </w:rPr>
        <w:t xml:space="preserve">Why investors will be cautious:</w:t>
      </w:r>
      <w:r>
        <w:t xml:space="preserve"> </w:t>
      </w:r>
      <w:r>
        <w:t xml:space="preserve">It converts DLR from a partial owner into the full owner of unfinished developments, concentrating execution and cost-overrun risk. The initial stabilized yield is also materially below the 10%+ yields DLR cites for its broader development pipeline, even though the asset quality and contracted nature are different.</w:t>
      </w:r>
    </w:p>
    <w:bookmarkEnd w:id="13"/>
    <w:bookmarkStart w:id="14" w:name="X44b29888849db541be9243d1ee697d8581dbce6"/>
    <w:p>
      <w:pPr>
        <w:pStyle w:val="Heading3"/>
      </w:pPr>
      <w:r>
        <w:t xml:space="preserve">5. Equity issuance and dilution will be unavoidable call topics</w:t>
      </w:r>
    </w:p>
    <w:p>
      <w:pPr>
        <w:pStyle w:val="FirstParagraph"/>
      </w:pPr>
      <w:r>
        <w:t xml:space="preserve">DLR raised capital aggressively during the quarter:</w:t>
      </w:r>
    </w:p>
    <w:p>
      <w:pPr>
        <w:pStyle w:val="Compact"/>
        <w:numPr>
          <w:ilvl w:val="0"/>
          <w:numId w:val="1005"/>
        </w:numPr>
      </w:pPr>
      <w:r>
        <w:t xml:space="preserve">It sold</w:t>
      </w:r>
      <w:r>
        <w:t xml:space="preserve"> </w:t>
      </w:r>
      <w:r>
        <w:rPr>
          <w:b/>
          <w:bCs/>
        </w:rPr>
        <w:t xml:space="preserve">6.16M shares</w:t>
      </w:r>
      <w:r>
        <w:t xml:space="preserve"> </w:t>
      </w:r>
      <w:r>
        <w:t xml:space="preserve">through its ATM program from April 29 through June 29, generating roughly</w:t>
      </w:r>
      <w:r>
        <w:t xml:space="preserve"> </w:t>
      </w:r>
      <w:r>
        <w:rPr>
          <w:b/>
          <w:bCs/>
        </w:rPr>
        <w:t xml:space="preserve">$1.2B</w:t>
      </w:r>
      <w:r>
        <w:t xml:space="preserve"> </w:t>
      </w:r>
      <w:r>
        <w:t xml:space="preserve">of net proceeds.</w:t>
      </w:r>
    </w:p>
    <w:p>
      <w:pPr>
        <w:pStyle w:val="Compact"/>
        <w:numPr>
          <w:ilvl w:val="0"/>
          <w:numId w:val="1005"/>
        </w:numPr>
      </w:pPr>
      <w:r>
        <w:t xml:space="preserve">As consideration for the Blackstone transaction, DLR issued</w:t>
      </w:r>
      <w:r>
        <w:t xml:space="preserve"> </w:t>
      </w:r>
      <w:r>
        <w:rPr>
          <w:b/>
          <w:bCs/>
        </w:rPr>
        <w:t xml:space="preserve">12.31M non-voting shares</w:t>
      </w:r>
      <w:r>
        <w:t xml:space="preserve"> </w:t>
      </w:r>
      <w:r>
        <w:t xml:space="preserve">to Blackstone, which converted into common stock and were sold by Blackstone on July 1 at</w:t>
      </w:r>
      <w:r>
        <w:t xml:space="preserve"> </w:t>
      </w:r>
      <w:r>
        <w:rPr>
          <w:b/>
          <w:bCs/>
        </w:rPr>
        <w:t xml:space="preserve">$185 per share</w:t>
      </w:r>
      <w:r>
        <w:t xml:space="preserve">. DLR did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receive proceeds from that secondary sale.</w:t>
      </w:r>
    </w:p>
    <w:p>
      <w:pPr>
        <w:pStyle w:val="Compact"/>
        <w:numPr>
          <w:ilvl w:val="0"/>
          <w:numId w:val="1005"/>
        </w:numPr>
      </w:pPr>
      <w:r>
        <w:t xml:space="preserve">DLR also agreed in June to issue</w:t>
      </w:r>
      <w:r>
        <w:t xml:space="preserve"> </w:t>
      </w:r>
      <w:r>
        <w:rPr>
          <w:b/>
          <w:bCs/>
        </w:rPr>
        <w:t xml:space="preserve">3.43M shares</w:t>
      </w:r>
      <w:r>
        <w:t xml:space="preserve"> </w:t>
      </w:r>
      <w:r>
        <w:t xml:space="preserve">to raise its interest in the Teraco joint venture by roughly 16%, increasing DLR’s stake in the African data-center platform to 77%, subject to closing conditions and approvals.</w:t>
      </w:r>
    </w:p>
    <w:p>
      <w:pPr>
        <w:pStyle w:val="FirstParagraph"/>
      </w:pPr>
      <w:r>
        <w:t xml:space="preserve">The essential distinction is that the Blackstone stock sale was a</w:t>
      </w:r>
      <w:r>
        <w:t xml:space="preserve"> </w:t>
      </w:r>
      <w:r>
        <w:rPr>
          <w:b/>
          <w:bCs/>
        </w:rPr>
        <w:t xml:space="preserve">secondary offering</w:t>
      </w:r>
      <w:r>
        <w:t xml:space="preserve">, not a new financing inflow to DLR. But the shares are still incremental to DLR’s outstanding-share base and will matter for future</w:t>
      </w:r>
      <w:r>
        <w:t xml:space="preserve"> </w:t>
      </w:r>
      <w:r>
        <w:rPr>
          <w:b/>
          <w:bCs/>
        </w:rPr>
        <w:t xml:space="preserve">Core FFO per share</w:t>
      </w:r>
      <w:r>
        <w:t xml:space="preserve">, beginning meaningfully after 2Q because they were issued at the very end of June.</w:t>
      </w:r>
    </w:p>
    <w:p>
      <w:pPr>
        <w:pStyle w:val="BodyText"/>
      </w:pPr>
      <w:r>
        <w:t xml:space="preserve">Management needs to demonstrate that incremental equity capital and dilution are being deployed into assets that are sufficiently accretive over time. The key asks are:</w:t>
      </w:r>
    </w:p>
    <w:p>
      <w:pPr>
        <w:pStyle w:val="Compact"/>
        <w:numPr>
          <w:ilvl w:val="0"/>
          <w:numId w:val="1006"/>
        </w:numPr>
      </w:pPr>
      <w:r>
        <w:t xml:space="preserve">Updated share-count and per-share-growth outlook;</w:t>
      </w:r>
    </w:p>
    <w:p>
      <w:pPr>
        <w:pStyle w:val="Compact"/>
        <w:numPr>
          <w:ilvl w:val="0"/>
          <w:numId w:val="1006"/>
        </w:numPr>
      </w:pPr>
      <w:r>
        <w:t xml:space="preserve">Whether 2026 Core FFO guidance still incorporates expected equity issuance;</w:t>
      </w:r>
    </w:p>
    <w:p>
      <w:pPr>
        <w:pStyle w:val="Compact"/>
        <w:numPr>
          <w:ilvl w:val="0"/>
          <w:numId w:val="1006"/>
        </w:numPr>
      </w:pPr>
      <w:r>
        <w:t xml:space="preserve">The expected timing of accretion from the Blackstone assets, Teraco increase, and broader development spend;</w:t>
      </w:r>
    </w:p>
    <w:p>
      <w:pPr>
        <w:pStyle w:val="Compact"/>
        <w:numPr>
          <w:ilvl w:val="0"/>
          <w:numId w:val="1006"/>
        </w:numPr>
      </w:pPr>
      <w:r>
        <w:t xml:space="preserve">Remaining ATM capacity and appetite for further equity issuance;</w:t>
      </w:r>
    </w:p>
    <w:p>
      <w:pPr>
        <w:pStyle w:val="Compact"/>
        <w:numPr>
          <w:ilvl w:val="0"/>
          <w:numId w:val="1006"/>
        </w:numPr>
      </w:pPr>
      <w:r>
        <w:t xml:space="preserve">Leverage following the acquisition and investment activity.</w:t>
      </w:r>
    </w:p>
    <w:bookmarkEnd w:id="14"/>
    <w:bookmarkEnd w:id="15"/>
    <w:bookmarkStart w:id="16" w:name="X23da1f3f77244397a82ace2018081fd6123adc1"/>
    <w:p>
      <w:pPr>
        <w:pStyle w:val="Heading2"/>
      </w:pPr>
      <w:r>
        <w:t xml:space="preserve">Guidance: a raise is possible, but preservation and a confident 2H outlook may be enough</w:t>
      </w:r>
    </w:p>
    <w:p>
      <w:pPr>
        <w:pStyle w:val="FirstParagraph"/>
      </w:pPr>
      <w:r>
        <w:t xml:space="preserve">After 1Q, DLR raised 2026 Core FFO guidance to</w:t>
      </w:r>
      <w:r>
        <w:t xml:space="preserve"> </w:t>
      </w:r>
      <m:oMath>
        <m:r>
          <m:t>8.00</m:t>
        </m:r>
        <m:r>
          <m:rPr>
            <m:sty m:val="p"/>
          </m:rPr>
          <m:t>–</m:t>
        </m:r>
      </m:oMath>
      <w:r>
        <w:rPr>
          <w:b/>
          <w:bCs/>
        </w:rPr>
        <w:t xml:space="preserve">8.10 per share</w:t>
      </w:r>
      <w:r>
        <w:t xml:space="preserve">, implying approximately 9% year-over-year growth at the midpoint. It also guided to: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guidance 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outlook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6.65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6.75B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3.65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3.75B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FFO/share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8.00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8.10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Constant-currency Core FFO/share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7.95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8.05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renewal spreads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6.5%–8.5%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Year-end occupancy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+50–100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Constant-currency same-capital cash NOI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4.0%–5.0%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Development CapEx, net of partner contributions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Dispositions/JV capital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500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1.0B</w:t>
            </w:r>
          </w:p>
        </w:tc>
      </w:tr>
    </w:tbl>
    <w:p>
      <w:pPr>
        <w:pStyle w:val="BodyText"/>
      </w:pPr>
      <w:r>
        <w:t xml:space="preserve">A guidance increase would be a clear positive, but it is not the only bullish result. Since management had already indicated 1Q would be the strongest quarterly growth rate, followed by a softer 2Q before reacceleration in the second half, a maintained guide with strong confirmation of the backlog-commencement schedule could be acceptable.</w:t>
      </w:r>
    </w:p>
    <w:p>
      <w:pPr>
        <w:pStyle w:val="BodyText"/>
      </w:pPr>
      <w:r>
        <w:t xml:space="preserve">The more important issue is whether DLR can protect 2026 per-share guidance while absorbing the capital effects of the Blackstone transaction, ATM issuance, and ongoing development expansion.</w:t>
      </w:r>
    </w:p>
    <w:bookmarkEnd w:id="16"/>
    <w:bookmarkStart w:id="19" w:name="operating-kpis-to-watch"/>
    <w:p>
      <w:pPr>
        <w:pStyle w:val="Heading2"/>
      </w:pPr>
      <w:r>
        <w:t xml:space="preserve">Operating KPIs to watch</w:t>
      </w:r>
    </w:p>
    <w:bookmarkStart w:id="17" w:name="positive-indicators"/>
    <w:p>
      <w:pPr>
        <w:pStyle w:val="Heading3"/>
      </w:pPr>
      <w:r>
        <w:t xml:space="preserve">Positive indicators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0–1 MW plus interconnection bookings</w:t>
      </w:r>
      <w:r>
        <w:t xml:space="preserve"> </w:t>
      </w:r>
      <w:r>
        <w:t xml:space="preserve">near or above the recent ~$100M quarterly run rate;</w:t>
      </w:r>
    </w:p>
    <w:p>
      <w:pPr>
        <w:pStyle w:val="Compact"/>
        <w:numPr>
          <w:ilvl w:val="0"/>
          <w:numId w:val="1007"/>
        </w:numPr>
      </w:pPr>
      <w:r>
        <w:t xml:space="preserve">Large-MW leasing that is geographically and customer diversified rather than dependent on a single hyperscale award;</w:t>
      </w:r>
    </w:p>
    <w:p>
      <w:pPr>
        <w:pStyle w:val="Compact"/>
        <w:numPr>
          <w:ilvl w:val="0"/>
          <w:numId w:val="1007"/>
        </w:numPr>
      </w:pPr>
      <w:r>
        <w:t xml:space="preserve">Backlog growth, or at minimum steady conversion consistent with 2026 commencement expectations;</w:t>
      </w:r>
    </w:p>
    <w:p>
      <w:pPr>
        <w:pStyle w:val="Compact"/>
        <w:numPr>
          <w:ilvl w:val="0"/>
          <w:numId w:val="1007"/>
        </w:numPr>
      </w:pPr>
      <w:r>
        <w:t xml:space="preserve">Stable or better</w:t>
      </w:r>
      <w:r>
        <w:t xml:space="preserve"> </w:t>
      </w:r>
      <w:r>
        <w:rPr>
          <w:b/>
          <w:bCs/>
        </w:rPr>
        <w:t xml:space="preserve">cash renewal spreads</w:t>
      </w:r>
      <w:r>
        <w:t xml:space="preserve">, with large-MW renewals continuing to reprice above legacy rates;</w:t>
      </w:r>
    </w:p>
    <w:p>
      <w:pPr>
        <w:pStyle w:val="Compact"/>
        <w:numPr>
          <w:ilvl w:val="0"/>
          <w:numId w:val="1007"/>
        </w:numPr>
      </w:pPr>
      <w:r>
        <w:t xml:space="preserve">Development pipeline pre-leasing near the 1Q</w:t>
      </w:r>
      <w:r>
        <w:t xml:space="preserve"> </w:t>
      </w:r>
      <w:r>
        <w:rPr>
          <w:b/>
          <w:bCs/>
        </w:rPr>
        <w:t xml:space="preserve">61%</w:t>
      </w:r>
      <w:r>
        <w:t xml:space="preserve"> </w:t>
      </w:r>
      <w:r>
        <w:t xml:space="preserve">level;</w:t>
      </w:r>
    </w:p>
    <w:p>
      <w:pPr>
        <w:pStyle w:val="Compact"/>
        <w:numPr>
          <w:ilvl w:val="0"/>
          <w:numId w:val="1007"/>
        </w:numPr>
      </w:pPr>
      <w:r>
        <w:t xml:space="preserve">Stable double-digit expected development yields;</w:t>
      </w:r>
    </w:p>
    <w:p>
      <w:pPr>
        <w:pStyle w:val="Compact"/>
        <w:numPr>
          <w:ilvl w:val="0"/>
          <w:numId w:val="1007"/>
        </w:numPr>
      </w:pPr>
      <w:r>
        <w:t xml:space="preserve">Continued occupancy improvement from 1Q’s</w:t>
      </w:r>
      <w:r>
        <w:t xml:space="preserve"> </w:t>
      </w:r>
      <w:r>
        <w:rPr>
          <w:b/>
          <w:bCs/>
        </w:rPr>
        <w:t xml:space="preserve">90.1%</w:t>
      </w:r>
      <w:r>
        <w:t xml:space="preserve"> </w:t>
      </w:r>
      <w:r>
        <w:t xml:space="preserve">portfolio occupancy and</w:t>
      </w:r>
      <w:r>
        <w:t xml:space="preserve"> </w:t>
      </w:r>
      <w:r>
        <w:rPr>
          <w:b/>
          <w:bCs/>
        </w:rPr>
        <w:t xml:space="preserve">91.6%</w:t>
      </w:r>
      <w:r>
        <w:t xml:space="preserve"> </w:t>
      </w:r>
      <w:r>
        <w:t xml:space="preserve">same-capital occupancy;</w:t>
      </w:r>
    </w:p>
    <w:p>
      <w:pPr>
        <w:pStyle w:val="Compact"/>
        <w:numPr>
          <w:ilvl w:val="0"/>
          <w:numId w:val="1007"/>
        </w:numPr>
      </w:pPr>
      <w:r>
        <w:t xml:space="preserve">Clear confirmation that power, supply-chain, and construction timing remain on track.</w:t>
      </w:r>
    </w:p>
    <w:bookmarkEnd w:id="17"/>
    <w:bookmarkStart w:id="18" w:name="negative-indicators"/>
    <w:p>
      <w:pPr>
        <w:pStyle w:val="Heading3"/>
      </w:pPr>
      <w:r>
        <w:t xml:space="preserve">Negative indicators</w:t>
      </w:r>
    </w:p>
    <w:p>
      <w:pPr>
        <w:pStyle w:val="Compact"/>
        <w:numPr>
          <w:ilvl w:val="0"/>
          <w:numId w:val="1008"/>
        </w:numPr>
      </w:pPr>
      <w:r>
        <w:t xml:space="preserve">A meaningful step-down in enterprise colocation/interconnection leasing;</w:t>
      </w:r>
    </w:p>
    <w:p>
      <w:pPr>
        <w:pStyle w:val="Compact"/>
        <w:numPr>
          <w:ilvl w:val="0"/>
          <w:numId w:val="1008"/>
        </w:numPr>
      </w:pPr>
      <w:r>
        <w:t xml:space="preserve">Delayed lease commencements, especially in the 2026 backlog;</w:t>
      </w:r>
    </w:p>
    <w:p>
      <w:pPr>
        <w:pStyle w:val="Compact"/>
        <w:numPr>
          <w:ilvl w:val="0"/>
          <w:numId w:val="1008"/>
        </w:numPr>
      </w:pPr>
      <w:r>
        <w:t xml:space="preserve">Higher cost per MW or lower development yields;</w:t>
      </w:r>
    </w:p>
    <w:p>
      <w:pPr>
        <w:pStyle w:val="Compact"/>
        <w:numPr>
          <w:ilvl w:val="0"/>
          <w:numId w:val="1008"/>
        </w:numPr>
      </w:pPr>
      <w:r>
        <w:t xml:space="preserve">Further power-delivery, permitting, labor, or equipment constraints;</w:t>
      </w:r>
    </w:p>
    <w:p>
      <w:pPr>
        <w:pStyle w:val="Compact"/>
        <w:numPr>
          <w:ilvl w:val="0"/>
          <w:numId w:val="1008"/>
        </w:numPr>
      </w:pPr>
      <w:r>
        <w:t xml:space="preserve">Materially increased equity needs without a well-defined accretion framework;</w:t>
      </w:r>
    </w:p>
    <w:p>
      <w:pPr>
        <w:pStyle w:val="Compact"/>
        <w:numPr>
          <w:ilvl w:val="0"/>
          <w:numId w:val="1008"/>
        </w:numPr>
      </w:pPr>
      <w:r>
        <w:t xml:space="preserve">Pressure on same-capital cash NOI, which grew only</w:t>
      </w:r>
      <w:r>
        <w:t xml:space="preserve"> </w:t>
      </w:r>
      <w:r>
        <w:rPr>
          <w:b/>
          <w:bCs/>
        </w:rPr>
        <w:t xml:space="preserve">2.5% year-over-year in constant currency</w:t>
      </w:r>
      <w:r>
        <w:t xml:space="preserve"> </w:t>
      </w:r>
      <w:r>
        <w:t xml:space="preserve">in 1Q despite 7.9% reported growth;</w:t>
      </w:r>
    </w:p>
    <w:p>
      <w:pPr>
        <w:pStyle w:val="Compact"/>
        <w:numPr>
          <w:ilvl w:val="0"/>
          <w:numId w:val="1008"/>
        </w:numPr>
      </w:pPr>
      <w:r>
        <w:t xml:space="preserve">Any sign that the Blackstone deal is more leverage- or execution-intensive than initially communicated.</w:t>
      </w:r>
    </w:p>
    <w:bookmarkEnd w:id="18"/>
    <w:bookmarkEnd w:id="19"/>
    <w:bookmarkStart w:id="20" w:name="questions-for-management"/>
    <w:p>
      <w:pPr>
        <w:pStyle w:val="Heading2"/>
      </w:pPr>
      <w:r>
        <w:t xml:space="preserve">Questions for management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Leasing and demand:</w:t>
      </w:r>
      <w:r>
        <w:t xml:space="preserve"> </w:t>
      </w:r>
      <w:r>
        <w:t xml:space="preserve">How did 2Q bookings compare with 1Q after adjusting for the 200 MW Charlotte transaction? What is the current mix of AI, cloud, and conventional enterprise demand?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Enterprise growth:</w:t>
      </w:r>
      <w:r>
        <w:t xml:space="preserve"> </w:t>
      </w:r>
      <w:r>
        <w:t xml:space="preserve">Can the company sustain the nearly $100M quarterly 0–1 MW plus interconnection booking run rate, and what portion is attributable to AI-oriented use cases?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Backlog conversion:</w:t>
      </w:r>
      <w:r>
        <w:t xml:space="preserve"> </w:t>
      </w:r>
      <w:r>
        <w:t xml:space="preserve">Is the expected</w:t>
      </w:r>
      <w:r>
        <w:t xml:space="preserve"> </w:t>
      </w:r>
      <w:r>
        <w:rPr>
          <w:b/>
          <w:bCs/>
        </w:rPr>
        <w:t xml:space="preserve">$544M</w:t>
      </w:r>
      <w:r>
        <w:t xml:space="preserve"> </w:t>
      </w:r>
      <w:r>
        <w:t xml:space="preserve">of 2026 backlog commencements still on schedule? Which markets or projects carry the greatest delivery risk?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Development returns:</w:t>
      </w:r>
      <w:r>
        <w:t xml:space="preserve"> </w:t>
      </w:r>
      <w:r>
        <w:t xml:space="preserve">What is the current all-in development cost per MW, and are target stabilized yields still holding at 10%+ on newly initiated projects?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Power:</w:t>
      </w:r>
      <w:r>
        <w:t xml:space="preserve"> </w:t>
      </w:r>
      <w:r>
        <w:t xml:space="preserve">What utility-power commitments are secured versus still under negotiation across Atlanta, Charlotte, Kansas City, Northern Virginia, and other expansion markets?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Blackstone acquisition:</w:t>
      </w:r>
      <w:r>
        <w:t xml:space="preserve"> </w:t>
      </w:r>
      <w:r>
        <w:t xml:space="preserve">What remaining capital is required to complete the 288 MW assets, what is the timing of rent commencement, and how should investors model per-share accretion and dilution through 2028?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Capital allocation:</w:t>
      </w:r>
      <w:r>
        <w:t xml:space="preserve"> </w:t>
      </w:r>
      <w:r>
        <w:t xml:space="preserve">After the ATM issuance, Blackstone share issuance, and planned Teraco transaction, what is the expected diluted share count exiting 2026? Is additional equity issuance likely?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Balance sheet:</w:t>
      </w:r>
      <w:r>
        <w:t xml:space="preserve"> </w:t>
      </w:r>
      <w:r>
        <w:t xml:space="preserve">Can DLR maintain net debt-to-adjusted EBITDA near the</w:t>
      </w:r>
      <w:r>
        <w:t xml:space="preserve"> </w:t>
      </w:r>
      <w:r>
        <w:rPr>
          <w:b/>
          <w:bCs/>
        </w:rPr>
        <w:t xml:space="preserve">4.7x</w:t>
      </w:r>
      <w:r>
        <w:t xml:space="preserve"> </w:t>
      </w:r>
      <w:r>
        <w:t xml:space="preserve">level reported in 1Q while funding the enlarged development program and portfolio acquisitions?</w:t>
      </w:r>
    </w:p>
    <w:bookmarkEnd w:id="20"/>
    <w:bookmarkStart w:id="2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DLR’s 2Q report should reinforce that the company is operating into an unusually favorable data-center environment. The strongest bull-case evidence would be continued enterprise leasing strength, another robust large-MW leasing quarter, backlog growth or reliable conversion, and stable development yields despite rising costs.</w:t>
      </w:r>
    </w:p>
    <w:p>
      <w:pPr>
        <w:pStyle w:val="BodyText"/>
      </w:pPr>
      <w:r>
        <w:t xml:space="preserve">However, investors will likely judge the report through a more demanding lens after the late-June Blackstone transaction and subsequent equity-related activity. The question is whether DLR can turn its exceptional leasing and development runway into</w:t>
      </w:r>
      <w:r>
        <w:t xml:space="preserve"> </w:t>
      </w:r>
      <w:r>
        <w:rPr>
          <w:b/>
          <w:bCs/>
        </w:rPr>
        <w:t xml:space="preserve">accretive, financed, and on-time</w:t>
      </w:r>
      <w:r>
        <w:t xml:space="preserve"> </w:t>
      </w:r>
      <w:r>
        <w:t xml:space="preserve">growth—not simply whether AI demand remains strong.</w:t>
      </w:r>
    </w:p>
    <w:p>
      <w:r>
        <w:pict>
          <v:rect style="width:0;height:1.5pt" o:hralign="center" o:hrstd="t" o:hr="t"/>
        </w:pict>
      </w:r>
    </w:p>
    <w:bookmarkStart w:id="21" w:name="primary-materials-reviewed"/>
    <w:p>
      <w:pPr>
        <w:pStyle w:val="Heading3"/>
      </w:pPr>
      <w:r>
        <w:t xml:space="preserve">Primary materials reviewed</w:t>
      </w:r>
    </w:p>
    <w:p>
      <w:pPr>
        <w:pStyle w:val="Compact"/>
        <w:numPr>
          <w:ilvl w:val="0"/>
          <w:numId w:val="1010"/>
        </w:numPr>
      </w:pPr>
      <w:r>
        <w:t xml:space="preserve">Digital Realty 1Q26 earnings release, supplemental package, and April 23, 2026 earnings-call transcript</w:t>
      </w:r>
    </w:p>
    <w:p>
      <w:pPr>
        <w:pStyle w:val="Compact"/>
        <w:numPr>
          <w:ilvl w:val="0"/>
          <w:numId w:val="1010"/>
        </w:numPr>
      </w:pPr>
      <w:r>
        <w:t xml:space="preserve">Digital Realty June 3, 2026 Nareit REITweek conference transcript</w:t>
      </w:r>
    </w:p>
    <w:p>
      <w:pPr>
        <w:pStyle w:val="Compact"/>
        <w:numPr>
          <w:ilvl w:val="0"/>
          <w:numId w:val="1010"/>
        </w:numPr>
      </w:pPr>
      <w:r>
        <w:t xml:space="preserve">Digital Realty June 29 and July 1, 2026 filings covering the Blackstone JV acquisition, ATM activity, and secondary offering</w:t>
      </w:r>
    </w:p>
    <w:p>
      <w:pPr>
        <w:pStyle w:val="Compact"/>
        <w:numPr>
          <w:ilvl w:val="0"/>
          <w:numId w:val="1010"/>
        </w:numPr>
      </w:pPr>
      <w:r>
        <w:t xml:space="preserve">DLR and EQIX historical closing-price data through July 22, 2026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2026-07-23T01:08:40Z</dcterms:created>
  <dcterms:modified xsi:type="dcterms:W3CDTF">2026-07-23T01:08:40Z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