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Digital Realty Trust (DLR)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Digital Realty Trust, Inc.</w:t>
            </w:r>
          </w:p>
        </w:tc>
      </w:tr>
      <w:tr>
        <w:tc>
          <w:tcPr>
            <w:tcW w:type="dxa" w:w="4320"/>
          </w:tcPr>
          <w:p>
            <w:r>
              <w:rPr>
                <w:rFonts w:ascii="Calibri" w:hAnsi="Calibri"/>
                <w:b/>
                <w:sz w:val="22"/>
              </w:rPr>
              <w:t>Ticker</w:t>
            </w:r>
          </w:p>
        </w:tc>
        <w:tc>
          <w:tcPr>
            <w:tcW w:type="dxa" w:w="4320"/>
          </w:tcPr>
          <w:p>
            <w:r>
              <w:rPr>
                <w:rFonts w:ascii="Calibri" w:hAnsi="Calibri"/>
                <w:sz w:val="22"/>
              </w:rPr>
              <w:t>NYSE: DLR</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 After Market Close (5:00 PM ET conference call)</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 Benchmark</w:t>
            </w:r>
          </w:p>
        </w:tc>
        <w:tc>
          <w:tcPr>
            <w:tcW w:type="dxa" w:w="4320"/>
          </w:tcPr>
          <w:p>
            <w:r>
              <w:rPr>
                <w:rFonts w:ascii="Calibri" w:hAnsi="Calibri"/>
                <w:sz w:val="22"/>
              </w:rPr>
              <w:t>EQIX (primary data center REIT peer)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is a manageable bar with a deliberate step-down in Core FFO guided by management, but the real question is whether bookings momentum — particularly in the 0–1 MW enterprise segment — can sustain the record pace set in Q1; any upside there, combined with the Blackstone acquisition closing, could re-accelerate the growth narrative into the back half.</w:t>
      </w:r>
    </w:p>
    <w:p>
      <w:r>
        <w:rPr>
          <w:rFonts w:ascii="Calibri" w:hAnsi="Calibri"/>
          <w:color w:val="525866"/>
          <w:sz w:val="22"/>
        </w:rPr>
        <w:t xml:space="preserve">Heading into Q2 2026 earnings, Digital Realty faces a </w:t>
      </w:r>
      <w:r>
        <w:rPr>
          <w:rFonts w:ascii="Calibri" w:hAnsi="Calibri"/>
          <w:b/>
          <w:color w:val="525866"/>
          <w:sz w:val="22"/>
        </w:rPr>
        <w:t>deliberately guided step-down in Core FFO per share</w:t>
      </w:r>
      <w:r>
        <w:rPr>
          <w:rFonts w:ascii="Calibri" w:hAnsi="Calibri"/>
          <w:color w:val="525866"/>
          <w:sz w:val="22"/>
        </w:rPr>
        <w:t xml:space="preserve"> — management explicitly flagged on the Q1 call that Q2 would be the trough before a rebound in Q3 and a strong finish to the year, driven by OpEx ramp, elevated development spend, and capital recycling timing. Consensus sits at $1.98 per share for Q2, up ~3% from Q1’s $2.04 actual, but the full-year guide of $8.00–$8.10 implies a meaningful back-half acceleration that is already well-understood by the Street. Management’s tone has been decidedly bullish: at the June Nareit conference, CEO Andy Power characterized full-year Core FFO growth as “feeling closer to double digits,” trending toward the high end of raised guidance, and enterprise colo bookings were described as “approaching $100 million a quarter.” Estimate revisions since the Q1 print have been modestly positive — Q2 Core FFO consensus edged up from $1.977 to $1.981 and full-year revenue moved from $6.727B to $6.754B — suggesting the Street is incrementally constructive but not aggressively chasing numbers higher. The stock has underperformed significantly since the Q1 print, down ~11% vs. the S&amp;P 500’s +5.5% gain, weighed by the June 29 Blackstone acquisition announcement ($7.8B gross value, $2.3B in DLR shares issued) which introduced near-term dilution concerns and balance sheet questions despite being accretive to Core FFO in 2027–2028. The </w:t>
      </w:r>
      <w:r>
        <w:rPr>
          <w:rFonts w:ascii="Calibri" w:hAnsi="Calibri"/>
          <w:b/>
          <w:color w:val="525866"/>
          <w:sz w:val="22"/>
        </w:rPr>
        <w:t>key wildcard</w:t>
      </w:r>
      <w:r>
        <w:rPr>
          <w:rFonts w:ascii="Calibri" w:hAnsi="Calibri"/>
          <w:color w:val="525866"/>
          <w:sz w:val="22"/>
        </w:rPr>
        <w:t xml:space="preserve"> is whether Q2 bookings — particularly in the 0–1 MW enterprise segment — can sustain or exceed the record $98M pace from Q1, and whether management provides any incremental color on the Blackstone deal’s impact on the 2026 guidance range.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reflects a guided step-down quarter with Core FFO at $1.98/share (vs. $2.04 actual in Q1); the bigger swing factor is total lease signings, where the Q1 record of $423M at DLR’s share sets a high bar and any normalization will be closely watched alongside the 0–1 MW enterprise bookings trajectory.</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(Raised Q1)</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Core FFO per Share — Diluted ($)</w:t>
            </w:r>
          </w:p>
        </w:tc>
        <w:tc>
          <w:tcPr>
            <w:tcW w:type="dxa" w:w="1234"/>
          </w:tcPr>
          <w:p>
            <w:r>
              <w:rPr>
                <w:rFonts w:ascii="Calibri" w:hAnsi="Calibri"/>
                <w:sz w:val="22"/>
              </w:rPr>
              <w:t>$2.04</w:t>
            </w:r>
          </w:p>
        </w:tc>
        <w:tc>
          <w:tcPr>
            <w:tcW w:type="dxa" w:w="1234"/>
          </w:tcPr>
          <w:p>
            <w:r>
              <w:rPr>
                <w:rFonts w:ascii="Calibri" w:hAnsi="Calibri"/>
                <w:sz w:val="22"/>
              </w:rPr>
              <w:t>$1.87</w:t>
            </w:r>
          </w:p>
        </w:tc>
        <w:tc>
          <w:tcPr>
            <w:tcW w:type="dxa" w:w="1234"/>
          </w:tcPr>
          <w:p>
            <w:r>
              <w:rPr>
                <w:rFonts w:ascii="Calibri" w:hAnsi="Calibri"/>
                <w:sz w:val="22"/>
              </w:rPr>
              <w:t>$1.98</w:t>
            </w:r>
          </w:p>
        </w:tc>
        <w:tc>
          <w:tcPr>
            <w:tcW w:type="dxa" w:w="1234"/>
          </w:tcPr>
          <w:p>
            <w:r>
              <w:rPr>
                <w:rFonts w:ascii="Calibri" w:hAnsi="Calibri"/>
                <w:sz w:val="22"/>
              </w:rPr>
              <w:t>+5.9% YoY</w:t>
            </w:r>
          </w:p>
        </w:tc>
        <w:tc>
          <w:tcPr>
            <w:tcW w:type="dxa" w:w="1234"/>
          </w:tcPr>
          <w:p>
            <w:r>
              <w:rPr>
                <w:rFonts w:ascii="Calibri" w:hAnsi="Calibri"/>
                <w:sz w:val="22"/>
              </w:rPr>
              <w:t>$8.00–$8.10 (mid: $8.05)</w:t>
            </w:r>
          </w:p>
        </w:tc>
        <w:tc>
          <w:tcPr>
            <w:tcW w:type="dxa" w:w="1234"/>
          </w:tcPr>
          <w:p>
            <w:r>
              <w:rPr>
                <w:rFonts w:ascii="Calibri" w:hAnsi="Calibri"/>
                <w:sz w:val="22"/>
              </w:rPr>
              <w:t>FY cons. $8.04 ≈ midpoint; ~flat</w:t>
            </w:r>
          </w:p>
        </w:tc>
      </w:tr>
      <w:tr>
        <w:tc>
          <w:tcPr>
            <w:tcW w:type="dxa" w:w="1234"/>
          </w:tcPr>
          <w:p>
            <w:r>
              <w:rPr>
                <w:rFonts w:ascii="Calibri" w:hAnsi="Calibri"/>
                <w:sz w:val="22"/>
              </w:rPr>
              <w:t>Total Revenue ($M)</w:t>
            </w:r>
          </w:p>
        </w:tc>
        <w:tc>
          <w:tcPr>
            <w:tcW w:type="dxa" w:w="1234"/>
          </w:tcPr>
          <w:p>
            <w:r>
              <w:rPr>
                <w:rFonts w:ascii="Calibri" w:hAnsi="Calibri"/>
                <w:sz w:val="22"/>
              </w:rPr>
              <w:t>$1,635.2M</w:t>
            </w:r>
          </w:p>
        </w:tc>
        <w:tc>
          <w:tcPr>
            <w:tcW w:type="dxa" w:w="1234"/>
          </w:tcPr>
          <w:p>
            <w:r>
              <w:rPr>
                <w:rFonts w:ascii="Calibri" w:hAnsi="Calibri"/>
                <w:sz w:val="22"/>
              </w:rPr>
              <w:t>$1,493.2M</w:t>
            </w:r>
          </w:p>
        </w:tc>
        <w:tc>
          <w:tcPr>
            <w:tcW w:type="dxa" w:w="1234"/>
          </w:tcPr>
          <w:p>
            <w:r>
              <w:rPr>
                <w:rFonts w:ascii="Calibri" w:hAnsi="Calibri"/>
                <w:sz w:val="22"/>
              </w:rPr>
              <w:t>$1,654.9M</w:t>
            </w:r>
          </w:p>
        </w:tc>
        <w:tc>
          <w:tcPr>
            <w:tcW w:type="dxa" w:w="1234"/>
          </w:tcPr>
          <w:p>
            <w:r>
              <w:rPr>
                <w:rFonts w:ascii="Calibri" w:hAnsi="Calibri"/>
                <w:sz w:val="22"/>
              </w:rPr>
              <w:t>+10.8% YoY</w:t>
            </w:r>
          </w:p>
        </w:tc>
        <w:tc>
          <w:tcPr>
            <w:tcW w:type="dxa" w:w="1234"/>
          </w:tcPr>
          <w:p>
            <w:r>
              <w:rPr>
                <w:rFonts w:ascii="Calibri" w:hAnsi="Calibri"/>
                <w:sz w:val="22"/>
              </w:rPr>
              <w:t>FY: $6.75B consensus</w:t>
            </w:r>
          </w:p>
        </w:tc>
        <w:tc>
          <w:tcPr>
            <w:tcW w:type="dxa" w:w="1234"/>
          </w:tcPr>
          <w:p>
            <w:r>
              <w:rPr>
                <w:rFonts w:ascii="Calibri" w:hAnsi="Calibri"/>
                <w:sz w:val="22"/>
              </w:rPr>
              <w:t>N/A — no quarterly revenue guidance provided</w:t>
            </w:r>
          </w:p>
        </w:tc>
      </w:tr>
      <w:tr>
        <w:tc>
          <w:tcPr>
            <w:tcW w:type="dxa" w:w="1234"/>
          </w:tcPr>
          <w:p>
            <w:r>
              <w:rPr>
                <w:rFonts w:ascii="Calibri" w:hAnsi="Calibri"/>
                <w:sz w:val="22"/>
              </w:rPr>
              <w:t>Cash NOI ($M)</w:t>
            </w:r>
          </w:p>
        </w:tc>
        <w:tc>
          <w:tcPr>
            <w:tcW w:type="dxa" w:w="1234"/>
          </w:tcPr>
          <w:p>
            <w:r>
              <w:rPr>
                <w:rFonts w:ascii="Calibri" w:hAnsi="Calibri"/>
                <w:sz w:val="22"/>
              </w:rPr>
              <w:t>$877.7M</w:t>
            </w:r>
          </w:p>
        </w:tc>
        <w:tc>
          <w:tcPr>
            <w:tcW w:type="dxa" w:w="1234"/>
          </w:tcPr>
          <w:p>
            <w:r>
              <w:rPr>
                <w:rFonts w:ascii="Calibri" w:hAnsi="Calibri"/>
                <w:sz w:val="22"/>
              </w:rPr>
              <w:t>$770.6M</w:t>
            </w:r>
          </w:p>
        </w:tc>
        <w:tc>
          <w:tcPr>
            <w:tcW w:type="dxa" w:w="1234"/>
          </w:tcPr>
          <w:p>
            <w:r>
              <w:rPr>
                <w:rFonts w:ascii="Calibri" w:hAnsi="Calibri"/>
                <w:sz w:val="22"/>
              </w:rPr>
              <w:t>$883.6M</w:t>
            </w:r>
          </w:p>
        </w:tc>
        <w:tc>
          <w:tcPr>
            <w:tcW w:type="dxa" w:w="1234"/>
          </w:tcPr>
          <w:p>
            <w:r>
              <w:rPr>
                <w:rFonts w:ascii="Calibri" w:hAnsi="Calibri"/>
                <w:sz w:val="22"/>
              </w:rPr>
              <w:t>+14.7% YoY</w:t>
            </w:r>
          </w:p>
        </w:tc>
        <w:tc>
          <w:tcPr>
            <w:tcW w:type="dxa" w:w="1234"/>
          </w:tcPr>
          <w:p>
            <w:r>
              <w:rPr>
                <w:rFonts w:ascii="Calibri" w:hAnsi="Calibri"/>
                <w:sz w:val="22"/>
              </w:rPr>
              <w:t>Same-cap cash NOI growth: 4%–5% (constant currency)</w:t>
            </w:r>
          </w:p>
        </w:tc>
        <w:tc>
          <w:tcPr>
            <w:tcW w:type="dxa" w:w="1234"/>
          </w:tcPr>
          <w:p>
            <w:r>
              <w:rPr>
                <w:rFonts w:ascii="Calibri" w:hAnsi="Calibri"/>
                <w:sz w:val="22"/>
              </w:rPr>
              <w:t>N/A — guidance on growth rate, not absolute</w:t>
            </w:r>
          </w:p>
        </w:tc>
      </w:tr>
      <w:tr>
        <w:tc>
          <w:tcPr>
            <w:tcW w:type="dxa" w:w="1234"/>
          </w:tcPr>
          <w:p>
            <w:r>
              <w:rPr>
                <w:rFonts w:ascii="Calibri" w:hAnsi="Calibri"/>
                <w:sz w:val="22"/>
              </w:rPr>
              <w:t>Adjusted EBITDA ($M)</w:t>
            </w:r>
          </w:p>
        </w:tc>
        <w:tc>
          <w:tcPr>
            <w:tcW w:type="dxa" w:w="1234"/>
          </w:tcPr>
          <w:p>
            <w:r>
              <w:rPr>
                <w:rFonts w:ascii="Calibri" w:hAnsi="Calibri"/>
                <w:sz w:val="22"/>
              </w:rPr>
              <w:t>$920.3M</w:t>
            </w:r>
          </w:p>
        </w:tc>
        <w:tc>
          <w:tcPr>
            <w:tcW w:type="dxa" w:w="1234"/>
          </w:tcPr>
          <w:p>
            <w:r>
              <w:rPr>
                <w:rFonts w:ascii="Calibri" w:hAnsi="Calibri"/>
                <w:sz w:val="22"/>
              </w:rPr>
              <w:t>$823.3M</w:t>
            </w:r>
          </w:p>
        </w:tc>
        <w:tc>
          <w:tcPr>
            <w:tcW w:type="dxa" w:w="1234"/>
          </w:tcPr>
          <w:p>
            <w:r>
              <w:rPr>
                <w:rFonts w:ascii="Calibri" w:hAnsi="Calibri"/>
                <w:sz w:val="22"/>
              </w:rPr>
              <w:t>$914.4M</w:t>
            </w:r>
          </w:p>
        </w:tc>
        <w:tc>
          <w:tcPr>
            <w:tcW w:type="dxa" w:w="1234"/>
          </w:tcPr>
          <w:p>
            <w:r>
              <w:rPr>
                <w:rFonts w:ascii="Calibri" w:hAnsi="Calibri"/>
                <w:sz w:val="22"/>
              </w:rPr>
              <w:t>+11.1% YoY</w:t>
            </w:r>
          </w:p>
        </w:tc>
        <w:tc>
          <w:tcPr>
            <w:tcW w:type="dxa" w:w="1234"/>
          </w:tcPr>
          <w:p>
            <w:r>
              <w:rPr>
                <w:rFonts w:ascii="Calibri" w:hAnsi="Calibri"/>
                <w:sz w:val="22"/>
              </w:rPr>
              <w:t>N/A — no explicit EBITDA guidance</w:t>
            </w:r>
          </w:p>
        </w:tc>
        <w:tc>
          <w:tcPr>
            <w:tcW w:type="dxa" w:w="1234"/>
          </w:tcPr>
          <w:p>
            <w:r>
              <w:rPr>
                <w:rFonts w:ascii="Calibri" w:hAnsi="Calibri"/>
                <w:sz w:val="22"/>
              </w:rPr>
              <w:t>N/A</w:t>
            </w:r>
          </w:p>
        </w:tc>
      </w:tr>
      <w:tr>
        <w:tc>
          <w:tcPr>
            <w:tcW w:type="dxa" w:w="1234"/>
          </w:tcPr>
          <w:p>
            <w:r>
              <w:rPr>
                <w:rFonts w:ascii="Calibri" w:hAnsi="Calibri"/>
                <w:sz w:val="22"/>
              </w:rPr>
              <w:t>0–1 MW Leasing Bookings ($M)</w:t>
            </w:r>
          </w:p>
        </w:tc>
        <w:tc>
          <w:tcPr>
            <w:tcW w:type="dxa" w:w="1234"/>
          </w:tcPr>
          <w:p>
            <w:r>
              <w:rPr>
                <w:rFonts w:ascii="Calibri" w:hAnsi="Calibri"/>
                <w:sz w:val="22"/>
              </w:rPr>
              <w:t>$79.0M (record)</w:t>
            </w:r>
          </w:p>
        </w:tc>
        <w:tc>
          <w:tcPr>
            <w:tcW w:type="dxa" w:w="1234"/>
          </w:tcPr>
          <w:p>
            <w:r>
              <w:rPr>
                <w:rFonts w:ascii="Calibri" w:hAnsi="Calibri"/>
                <w:sz w:val="22"/>
              </w:rPr>
              <w:t>$72.5M</w:t>
            </w:r>
          </w:p>
        </w:tc>
        <w:tc>
          <w:tcPr>
            <w:tcW w:type="dxa" w:w="1234"/>
          </w:tcPr>
          <w:p>
            <w:r>
              <w:rPr>
                <w:rFonts w:ascii="Calibri" w:hAnsi="Calibri"/>
                <w:sz w:val="22"/>
              </w:rPr>
              <w:t>$73.7M</w:t>
            </w:r>
          </w:p>
        </w:tc>
        <w:tc>
          <w:tcPr>
            <w:tcW w:type="dxa" w:w="1234"/>
          </w:tcPr>
          <w:p>
            <w:r>
              <w:rPr>
                <w:rFonts w:ascii="Calibri" w:hAnsi="Calibri"/>
                <w:sz w:val="22"/>
              </w:rPr>
              <w:t>+1.7% YoY</w:t>
            </w:r>
          </w:p>
        </w:tc>
        <w:tc>
          <w:tcPr>
            <w:tcW w:type="dxa" w:w="1234"/>
          </w:tcPr>
          <w:p>
            <w:r>
              <w:rPr>
                <w:rFonts w:ascii="Calibri" w:hAnsi="Calibri"/>
                <w:sz w:val="22"/>
              </w:rPr>
              <w:t>FY: $302.1M consensus</w:t>
            </w:r>
          </w:p>
        </w:tc>
        <w:tc>
          <w:tcPr>
            <w:tcW w:type="dxa" w:w="1234"/>
          </w:tcPr>
          <w:p>
            <w:r>
              <w:rPr>
                <w:rFonts w:ascii="Calibri" w:hAnsi="Calibri"/>
                <w:sz w:val="22"/>
              </w:rPr>
              <w:t>N/A — no quarterly booking guidance</w:t>
            </w:r>
          </w:p>
        </w:tc>
      </w:tr>
      <w:tr>
        <w:tc>
          <w:tcPr>
            <w:tcW w:type="dxa" w:w="1234"/>
          </w:tcPr>
          <w:p>
            <w:r>
              <w:rPr>
                <w:rFonts w:ascii="Calibri" w:hAnsi="Calibri"/>
                <w:sz w:val="22"/>
              </w:rPr>
              <w:t>Total Lease Signings ($M, DLR share)</w:t>
            </w:r>
          </w:p>
        </w:tc>
        <w:tc>
          <w:tcPr>
            <w:tcW w:type="dxa" w:w="1234"/>
          </w:tcPr>
          <w:p>
            <w:r>
              <w:rPr>
                <w:rFonts w:ascii="Calibri" w:hAnsi="Calibri"/>
                <w:sz w:val="22"/>
              </w:rPr>
              <w:t>$422.8M (2nd highest ever)</w:t>
            </w:r>
          </w:p>
        </w:tc>
        <w:tc>
          <w:tcPr>
            <w:tcW w:type="dxa" w:w="1234"/>
          </w:tcPr>
          <w:p>
            <w:r>
              <w:rPr>
                <w:rFonts w:ascii="Calibri" w:hAnsi="Calibri"/>
                <w:sz w:val="22"/>
              </w:rPr>
              <w:t>$135.3M</w:t>
            </w:r>
          </w:p>
        </w:tc>
        <w:tc>
          <w:tcPr>
            <w:tcW w:type="dxa" w:w="1234"/>
          </w:tcPr>
          <w:p>
            <w:r>
              <w:rPr>
                <w:rFonts w:ascii="Calibri" w:hAnsi="Calibri"/>
                <w:sz w:val="22"/>
              </w:rPr>
              <w:t>$199.2M</w:t>
            </w:r>
          </w:p>
        </w:tc>
        <w:tc>
          <w:tcPr>
            <w:tcW w:type="dxa" w:w="1234"/>
          </w:tcPr>
          <w:p>
            <w:r>
              <w:rPr>
                <w:rFonts w:ascii="Calibri" w:hAnsi="Calibri"/>
                <w:sz w:val="22"/>
              </w:rPr>
              <w:t>+47.2% YoY</w:t>
            </w:r>
          </w:p>
        </w:tc>
        <w:tc>
          <w:tcPr>
            <w:tcW w:type="dxa" w:w="1234"/>
          </w:tcPr>
          <w:p>
            <w:r>
              <w:rPr>
                <w:rFonts w:ascii="Calibri" w:hAnsi="Calibri"/>
                <w:sz w:val="22"/>
              </w:rPr>
              <w:t>FY: $1.13B consensus</w:t>
            </w:r>
          </w:p>
        </w:tc>
        <w:tc>
          <w:tcPr>
            <w:tcW w:type="dxa" w:w="1234"/>
          </w:tcPr>
          <w:p>
            <w:r>
              <w:rPr>
                <w:rFonts w:ascii="Calibri" w:hAnsi="Calibri"/>
                <w:sz w:val="22"/>
              </w:rPr>
              <w:t>N/A — no quarterly booking guidance</w:t>
            </w:r>
          </w:p>
        </w:tc>
      </w:tr>
      <w:tr>
        <w:tc>
          <w:tcPr>
            <w:tcW w:type="dxa" w:w="1234"/>
          </w:tcPr>
          <w:p>
            <w:r>
              <w:rPr>
                <w:rFonts w:ascii="Calibri" w:hAnsi="Calibri"/>
                <w:sz w:val="22"/>
              </w:rPr>
              <w:t>AFFO per Share — Diluted ($)</w:t>
            </w:r>
          </w:p>
        </w:tc>
        <w:tc>
          <w:tcPr>
            <w:tcW w:type="dxa" w:w="1234"/>
          </w:tcPr>
          <w:p>
            <w:r>
              <w:rPr>
                <w:rFonts w:ascii="Calibri" w:hAnsi="Calibri"/>
                <w:sz w:val="22"/>
              </w:rPr>
              <w:t>$1.92</w:t>
            </w:r>
          </w:p>
        </w:tc>
        <w:tc>
          <w:tcPr>
            <w:tcW w:type="dxa" w:w="1234"/>
          </w:tcPr>
          <w:p>
            <w:r>
              <w:rPr>
                <w:rFonts w:ascii="Calibri" w:hAnsi="Calibri"/>
                <w:sz w:val="22"/>
              </w:rPr>
              <w:t>$1.68</w:t>
            </w:r>
          </w:p>
        </w:tc>
        <w:tc>
          <w:tcPr>
            <w:tcW w:type="dxa" w:w="1234"/>
          </w:tcPr>
          <w:p>
            <w:r>
              <w:rPr>
                <w:rFonts w:ascii="Calibri" w:hAnsi="Calibri"/>
                <w:sz w:val="22"/>
              </w:rPr>
              <w:t>$1.80</w:t>
            </w:r>
          </w:p>
        </w:tc>
        <w:tc>
          <w:tcPr>
            <w:tcW w:type="dxa" w:w="1234"/>
          </w:tcPr>
          <w:p>
            <w:r>
              <w:rPr>
                <w:rFonts w:ascii="Calibri" w:hAnsi="Calibri"/>
                <w:sz w:val="22"/>
              </w:rPr>
              <w:t>+7.1% YoY</w:t>
            </w:r>
          </w:p>
        </w:tc>
        <w:tc>
          <w:tcPr>
            <w:tcW w:type="dxa" w:w="1234"/>
          </w:tcPr>
          <w:p>
            <w:r>
              <w:rPr>
                <w:rFonts w:ascii="Calibri" w:hAnsi="Calibri"/>
                <w:sz w:val="22"/>
              </w:rPr>
              <w:t>FY: $7.12 consensus</w:t>
            </w:r>
          </w:p>
        </w:tc>
        <w:tc>
          <w:tcPr>
            <w:tcW w:type="dxa" w:w="1234"/>
          </w:tcPr>
          <w:p>
            <w:r>
              <w:rPr>
                <w:rFonts w:ascii="Calibri" w:hAnsi="Calibri"/>
                <w:sz w:val="22"/>
              </w:rPr>
              <w:t>N/A — no explicit AFFO guidance</w:t>
            </w:r>
          </w:p>
        </w:tc>
      </w:tr>
    </w:tbl>
    <w:p>
      <w:r>
        <w:rPr>
          <w:rFonts w:ascii="Calibri" w:hAnsi="Calibri"/>
          <w:i/>
          <w:color w:val="525866"/>
          <w:sz w:val="22"/>
        </w:rPr>
        <w:t>Source: Visible Alpha Consensus and Actuals Data. All consensus figures as of July 22, 2026. Q2 2026 actuals not yet reported.</w:t>
      </w:r>
    </w:p>
    <w:p>
      <w:pPr>
        <w:pStyle w:val="Heading2"/>
      </w:pPr>
      <w:r>
        <w:rPr>
          <w:rFonts w:ascii="Calibri" w:hAnsi="Calibri"/>
          <w:b/>
          <w:color w:val="3B4259"/>
          <w:sz w:val="28"/>
        </w:rPr>
        <w:t>Table 2 — Beat / Miss History (Last 8 Quarters)</w:t>
      </w:r>
    </w:p>
    <w:p>
      <w:pPr>
        <w:pStyle w:val="Heading3"/>
      </w:pPr>
      <w:r>
        <w:rPr>
          <w:rFonts w:ascii="Calibri" w:hAnsi="Calibri"/>
          <w:b/>
          <w:color w:val="3B4259"/>
          <w:sz w:val="24"/>
        </w:rPr>
        <w:t>Core FFO per Share —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1.65</w:t>
            </w:r>
          </w:p>
        </w:tc>
        <w:tc>
          <w:tcPr>
            <w:tcW w:type="dxa" w:w="1728"/>
          </w:tcPr>
          <w:p>
            <w:r>
              <w:rPr>
                <w:rFonts w:ascii="Calibri" w:hAnsi="Calibri"/>
                <w:sz w:val="22"/>
              </w:rPr>
              <w:t>1.629</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1.67</w:t>
            </w:r>
          </w:p>
        </w:tc>
        <w:tc>
          <w:tcPr>
            <w:tcW w:type="dxa" w:w="1728"/>
          </w:tcPr>
          <w:p>
            <w:r>
              <w:rPr>
                <w:rFonts w:ascii="Calibri" w:hAnsi="Calibri"/>
                <w:sz w:val="22"/>
              </w:rPr>
              <w:t>1.661</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1.73</w:t>
            </w:r>
          </w:p>
        </w:tc>
        <w:tc>
          <w:tcPr>
            <w:tcW w:type="dxa" w:w="1728"/>
          </w:tcPr>
          <w:p>
            <w:r>
              <w:rPr>
                <w:rFonts w:ascii="Calibri" w:hAnsi="Calibri"/>
                <w:sz w:val="22"/>
              </w:rPr>
              <w:t>1.708</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1.77</w:t>
            </w:r>
          </w:p>
        </w:tc>
        <w:tc>
          <w:tcPr>
            <w:tcW w:type="dxa" w:w="1728"/>
          </w:tcPr>
          <w:p>
            <w:r>
              <w:rPr>
                <w:rFonts w:ascii="Calibri" w:hAnsi="Calibri"/>
                <w:sz w:val="22"/>
              </w:rPr>
              <w:t>1.726</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1.87</w:t>
            </w:r>
          </w:p>
        </w:tc>
        <w:tc>
          <w:tcPr>
            <w:tcW w:type="dxa" w:w="1728"/>
          </w:tcPr>
          <w:p>
            <w:r>
              <w:rPr>
                <w:rFonts w:ascii="Calibri" w:hAnsi="Calibri"/>
                <w:sz w:val="22"/>
              </w:rPr>
              <w:t>1.749</w:t>
            </w:r>
          </w:p>
        </w:tc>
        <w:tc>
          <w:tcPr>
            <w:tcW w:type="dxa" w:w="1728"/>
          </w:tcPr>
          <w:p>
            <w:r>
              <w:rPr>
                <w:rFonts w:ascii="Calibri" w:hAnsi="Calibri"/>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1.89</w:t>
            </w:r>
          </w:p>
        </w:tc>
        <w:tc>
          <w:tcPr>
            <w:tcW w:type="dxa" w:w="1728"/>
          </w:tcPr>
          <w:p>
            <w:r>
              <w:rPr>
                <w:rFonts w:ascii="Calibri" w:hAnsi="Calibri"/>
                <w:sz w:val="22"/>
              </w:rPr>
              <w:t>1.792</w:t>
            </w:r>
          </w:p>
        </w:tc>
        <w:tc>
          <w:tcPr>
            <w:tcW w:type="dxa" w:w="1728"/>
          </w:tcPr>
          <w:p>
            <w:r>
              <w:rPr>
                <w:rFonts w:ascii="Calibri" w:hAnsi="Calibri"/>
                <w:sz w:val="22"/>
              </w:rPr>
              <w:t>+5.5%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1.86</w:t>
            </w:r>
          </w:p>
        </w:tc>
        <w:tc>
          <w:tcPr>
            <w:tcW w:type="dxa" w:w="1728"/>
          </w:tcPr>
          <w:p>
            <w:r>
              <w:rPr>
                <w:rFonts w:ascii="Calibri" w:hAnsi="Calibri"/>
                <w:sz w:val="22"/>
              </w:rPr>
              <w:t>1.827</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2.04</w:t>
            </w:r>
          </w:p>
        </w:tc>
        <w:tc>
          <w:tcPr>
            <w:tcW w:type="dxa" w:w="1728"/>
          </w:tcPr>
          <w:p>
            <w:r>
              <w:rPr>
                <w:rFonts w:ascii="Calibri" w:hAnsi="Calibri"/>
                <w:sz w:val="22"/>
              </w:rPr>
              <w:t>1.939</w:t>
            </w:r>
          </w:p>
        </w:tc>
        <w:tc>
          <w:tcPr>
            <w:tcW w:type="dxa" w:w="1728"/>
          </w:tcPr>
          <w:p>
            <w:r>
              <w:rPr>
                <w:rFonts w:ascii="Calibri" w:hAnsi="Calibri"/>
                <w:sz w:val="22"/>
              </w:rPr>
              <w:t>+5.2%</w:t>
            </w:r>
          </w:p>
        </w:tc>
        <w:tc>
          <w:tcPr>
            <w:tcW w:type="dxa" w:w="1728"/>
          </w:tcPr>
          <w:p>
            <w:r>
              <w:rPr>
                <w:rFonts w:ascii="Calibri" w:hAnsi="Calibri"/>
                <w:b/>
                <w:color w:val="30A46C"/>
                <w:sz w:val="22"/>
              </w:rPr>
              <w:t>Beat</w:t>
            </w:r>
          </w:p>
        </w:tc>
      </w:tr>
    </w:tbl>
    <w:p>
      <w:r>
        <w:rPr>
          <w:rFonts w:ascii="Calibri" w:hAnsi="Calibri"/>
          <w:i/>
          <w:color w:val="525866"/>
          <w:sz w:val="22"/>
        </w:rPr>
        <w:t>DLR has beaten Core FFO per share consensus in each of the last 8 consecutive quarters, with beat magnitude accelerating from ~1% in 2024 to 5–7% in 2025–2026 — a strong track record that sets a high implicit bar even against a guided step-down quarter.</w:t>
      </w:r>
    </w:p>
    <w:p>
      <w:pPr>
        <w:pStyle w:val="Heading3"/>
      </w:pPr>
      <w:r>
        <w:rPr>
          <w:rFonts w:ascii="Calibri" w:hAnsi="Calibri"/>
          <w:b/>
          <w:color w:val="3B4259"/>
          <w:sz w:val="24"/>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1,356.8</w:t>
            </w:r>
          </w:p>
        </w:tc>
        <w:tc>
          <w:tcPr>
            <w:tcW w:type="dxa" w:w="1728"/>
          </w:tcPr>
          <w:p>
            <w:r>
              <w:rPr>
                <w:rFonts w:ascii="Calibri" w:hAnsi="Calibri"/>
                <w:sz w:val="22"/>
              </w:rPr>
              <w:t>1,374.9</w:t>
            </w:r>
          </w:p>
        </w:tc>
        <w:tc>
          <w:tcPr>
            <w:tcW w:type="dxa" w:w="1728"/>
          </w:tcPr>
          <w:p>
            <w:r>
              <w:rPr>
                <w:rFonts w:ascii="Calibri" w:hAnsi="Calibri"/>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1,431.2</w:t>
            </w:r>
          </w:p>
        </w:tc>
        <w:tc>
          <w:tcPr>
            <w:tcW w:type="dxa" w:w="1728"/>
          </w:tcPr>
          <w:p>
            <w:r>
              <w:rPr>
                <w:rFonts w:ascii="Calibri" w:hAnsi="Calibri"/>
                <w:sz w:val="22"/>
              </w:rPr>
              <w:t>1,424.2</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1,435.9</w:t>
            </w:r>
          </w:p>
        </w:tc>
        <w:tc>
          <w:tcPr>
            <w:tcW w:type="dxa" w:w="1728"/>
          </w:tcPr>
          <w:p>
            <w:r>
              <w:rPr>
                <w:rFonts w:ascii="Calibri" w:hAnsi="Calibri"/>
                <w:sz w:val="22"/>
              </w:rPr>
              <w:t>1,458.0</w:t>
            </w:r>
          </w:p>
        </w:tc>
        <w:tc>
          <w:tcPr>
            <w:tcW w:type="dxa" w:w="1728"/>
          </w:tcPr>
          <w:p>
            <w:r>
              <w:rPr>
                <w:rFonts w:ascii="Calibri" w:hAnsi="Calibri"/>
                <w:sz w:val="22"/>
              </w:rPr>
              <w:t>−1.5%</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1,407.6</w:t>
            </w:r>
          </w:p>
        </w:tc>
        <w:tc>
          <w:tcPr>
            <w:tcW w:type="dxa" w:w="1728"/>
          </w:tcPr>
          <w:p>
            <w:r>
              <w:rPr>
                <w:rFonts w:ascii="Calibri" w:hAnsi="Calibri"/>
                <w:sz w:val="22"/>
              </w:rPr>
              <w:t>1,423.2</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1,493.2</w:t>
            </w:r>
          </w:p>
        </w:tc>
        <w:tc>
          <w:tcPr>
            <w:tcW w:type="dxa" w:w="1728"/>
          </w:tcPr>
          <w:p>
            <w:r>
              <w:rPr>
                <w:rFonts w:ascii="Calibri" w:hAnsi="Calibri"/>
                <w:sz w:val="22"/>
              </w:rPr>
              <w:t>1,448.2</w:t>
            </w:r>
          </w:p>
        </w:tc>
        <w:tc>
          <w:tcPr>
            <w:tcW w:type="dxa" w:w="1728"/>
          </w:tcPr>
          <w:p>
            <w:r>
              <w:rPr>
                <w:rFonts w:ascii="Calibri" w:hAnsi="Calibri"/>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1,577.2</w:t>
            </w:r>
          </w:p>
        </w:tc>
        <w:tc>
          <w:tcPr>
            <w:tcW w:type="dxa" w:w="1728"/>
          </w:tcPr>
          <w:p>
            <w:r>
              <w:rPr>
                <w:rFonts w:ascii="Calibri" w:hAnsi="Calibri"/>
                <w:sz w:val="22"/>
              </w:rPr>
              <w:t>1,527.3</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1,634.7</w:t>
            </w:r>
          </w:p>
        </w:tc>
        <w:tc>
          <w:tcPr>
            <w:tcW w:type="dxa" w:w="1728"/>
          </w:tcPr>
          <w:p>
            <w:r>
              <w:rPr>
                <w:rFonts w:ascii="Calibri" w:hAnsi="Calibri"/>
                <w:sz w:val="22"/>
              </w:rPr>
              <w:t>1,576.6</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1,635.2</w:t>
            </w:r>
          </w:p>
        </w:tc>
        <w:tc>
          <w:tcPr>
            <w:tcW w:type="dxa" w:w="1728"/>
          </w:tcPr>
          <w:p>
            <w:r>
              <w:rPr>
                <w:rFonts w:ascii="Calibri" w:hAnsi="Calibri"/>
                <w:sz w:val="22"/>
              </w:rPr>
              <w:t>1,601.2</w:t>
            </w:r>
          </w:p>
        </w:tc>
        <w:tc>
          <w:tcPr>
            <w:tcW w:type="dxa" w:w="1728"/>
          </w:tcPr>
          <w:p>
            <w:r>
              <w:rPr>
                <w:rFonts w:ascii="Calibri" w:hAnsi="Calibri"/>
                <w:sz w:val="22"/>
              </w:rPr>
              <w:t>+2.1%</w:t>
            </w:r>
          </w:p>
        </w:tc>
        <w:tc>
          <w:tcPr>
            <w:tcW w:type="dxa" w:w="1728"/>
          </w:tcPr>
          <w:p>
            <w:r>
              <w:rPr>
                <w:rFonts w:ascii="Calibri" w:hAnsi="Calibri"/>
                <w:b/>
                <w:color w:val="30A46C"/>
                <w:sz w:val="22"/>
              </w:rPr>
              <w:t>Beat</w:t>
            </w:r>
          </w:p>
        </w:tc>
      </w:tr>
    </w:tbl>
    <w:p>
      <w:r>
        <w:rPr>
          <w:rFonts w:ascii="Calibri" w:hAnsi="Calibri"/>
          <w:i/>
          <w:color w:val="525866"/>
          <w:sz w:val="22"/>
        </w:rPr>
        <w:t>Revenue beat/miss history is more mixed — three misses in 2024 followed by four consecutive beats in 2025–2026, with beat magnitude expanding to 2–4% as the backlog-driven revenue ramp accelerated. The improving trend is constructive heading into Q2.</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Core FFO guidance by $0.10 at Q1 earnings and subsequently signaled at the June Nareit conference that growth is “feeling closer to double digits” — tone has shifted meaningfully more bullish, though the Blackstone acquisition announced June 29 introduces a new variable that may require guidance clarification on the Q2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23, 2026)</w:t>
            </w:r>
          </w:p>
        </w:tc>
        <w:tc>
          <w:tcPr>
            <w:tcW w:type="dxa" w:w="1728"/>
            <w:shd w:val="clear" w:color="auto" w:fill="3B4259"/>
          </w:tcPr>
          <w:p>
            <w:r>
              <w:rPr>
                <w:rFonts w:ascii="Calibri" w:hAnsi="Calibri"/>
                <w:b/>
                <w:color w:val="FFFFFF"/>
                <w:sz w:val="22"/>
              </w:rPr>
              <w:t>Revised Guidance (Post-Earnings Update)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Core FFO per Share — FY 2026</w:t>
            </w:r>
          </w:p>
        </w:tc>
        <w:tc>
          <w:tcPr>
            <w:tcW w:type="dxa" w:w="1728"/>
          </w:tcPr>
          <w:p>
            <w:r>
              <w:rPr>
                <w:rFonts w:ascii="Calibri" w:hAnsi="Calibri"/>
                <w:sz w:val="22"/>
              </w:rPr>
              <w:t>$8.00–$8.10 (raised $0.10 from prior $7.90–$8.00)</w:t>
            </w:r>
          </w:p>
        </w:tc>
        <w:tc>
          <w:tcPr>
            <w:tcW w:type="dxa" w:w="1728"/>
          </w:tcPr>
          <w:p>
            <w:r>
              <w:rPr>
                <w:rFonts w:ascii="Calibri" w:hAnsi="Calibri"/>
                <w:sz w:val="22"/>
              </w:rPr>
              <w:t>Trending toward high end; “feeling closer to double digits” growth</w:t>
            </w:r>
          </w:p>
        </w:tc>
        <w:tc>
          <w:tcPr>
            <w:tcW w:type="dxa" w:w="1728"/>
          </w:tcPr>
          <w:p>
            <w:r>
              <w:rPr>
                <w:rFonts w:ascii="Calibri" w:hAnsi="Calibri"/>
                <w:sz w:val="22"/>
              </w:rPr>
              <w:t>$8.04</w:t>
            </w:r>
          </w:p>
        </w:tc>
        <w:tc>
          <w:tcPr>
            <w:tcW w:type="dxa" w:w="1728"/>
          </w:tcPr>
          <w:p>
            <w:r>
              <w:rPr>
                <w:rFonts w:ascii="Calibri" w:hAnsi="Calibri"/>
                <w:sz w:val="22"/>
              </w:rPr>
              <w:t>↑ Raised at Q1 earnings Apr. 23; further bullish tone at Nareit Jun. 3. Blackstone deal (Jun. 29) not yet reflected in guidance — accretive in 2027–2028, not 2026.</w:t>
            </w:r>
          </w:p>
        </w:tc>
      </w:tr>
      <w:tr>
        <w:tc>
          <w:tcPr>
            <w:tcW w:type="dxa" w:w="1728"/>
          </w:tcPr>
          <w:p>
            <w:r>
              <w:rPr>
                <w:rFonts w:ascii="Calibri" w:hAnsi="Calibri"/>
                <w:sz w:val="22"/>
              </w:rPr>
              <w:t>Same-Capital Cash NOI Growth — FY 2026</w:t>
            </w:r>
          </w:p>
        </w:tc>
        <w:tc>
          <w:tcPr>
            <w:tcW w:type="dxa" w:w="1728"/>
          </w:tcPr>
          <w:p>
            <w:r>
              <w:rPr>
                <w:rFonts w:ascii="Calibri" w:hAnsi="Calibri"/>
                <w:sz w:val="22"/>
              </w:rPr>
              <w:t>4%–5% (constant currency)</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since Q1 call; Q1 actual was 2.5% constant currency (below trend due to OpEx comp), expected to normalize to 4%–5% for full year.</w:t>
            </w:r>
          </w:p>
        </w:tc>
      </w:tr>
      <w:tr>
        <w:tc>
          <w:tcPr>
            <w:tcW w:type="dxa" w:w="1728"/>
          </w:tcPr>
          <w:p>
            <w:r>
              <w:rPr>
                <w:rFonts w:ascii="Calibri" w:hAnsi="Calibri"/>
                <w:sz w:val="22"/>
              </w:rPr>
              <w:t>Cash Renewal Spreads — FY 2026</w:t>
            </w:r>
          </w:p>
        </w:tc>
        <w:tc>
          <w:tcPr>
            <w:tcW w:type="dxa" w:w="1728"/>
          </w:tcPr>
          <w:p>
            <w:r>
              <w:rPr>
                <w:rFonts w:ascii="Calibri" w:hAnsi="Calibri"/>
                <w:sz w:val="22"/>
              </w:rPr>
              <w:t>6.5%–8.5% (raised 50 bps from prior 6%–8%)</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 Raised 50 bps at Q1 earnings; reflects improving mark-to-market as legacy low-rate leases expire.</w:t>
            </w:r>
          </w:p>
        </w:tc>
      </w:tr>
      <w:tr>
        <w:tc>
          <w:tcPr>
            <w:tcW w:type="dxa" w:w="1728"/>
          </w:tcPr>
          <w:p>
            <w:r>
              <w:rPr>
                <w:rFonts w:ascii="Calibri" w:hAnsi="Calibri"/>
                <w:sz w:val="22"/>
              </w:rPr>
              <w:t>Development CapEx (net of partner contributions) — FY 2026</w:t>
            </w:r>
          </w:p>
        </w:tc>
        <w:tc>
          <w:tcPr>
            <w:tcW w:type="dxa" w:w="1728"/>
          </w:tcPr>
          <w:p>
            <w:r>
              <w:rPr>
                <w:rFonts w:ascii="Calibri" w:hAnsi="Calibri"/>
                <w:sz w:val="22"/>
              </w:rPr>
              <w:t>$3.5B–$4.0B (raised $250M at midpoint from prior $3.25B–$3.75B)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Q1 earnings; reflects 1.2 GW pipeline under construction, up 60%+ sequentially.</w:t>
            </w:r>
          </w:p>
        </w:tc>
      </w:tr>
      <w:tr>
        <w:tc>
          <w:tcPr>
            <w:tcW w:type="dxa" w:w="1728"/>
          </w:tcPr>
          <w:p>
            <w:r>
              <w:rPr>
                <w:rFonts w:ascii="Calibri" w:hAnsi="Calibri"/>
                <w:sz w:val="22"/>
              </w:rPr>
              <w:t>Capital Recycling (Dispositions / JV Capital) — FY 2026</w:t>
            </w:r>
          </w:p>
        </w:tc>
        <w:tc>
          <w:tcPr>
            <w:tcW w:type="dxa" w:w="1728"/>
          </w:tcPr>
          <w:p>
            <w:r>
              <w:rPr>
                <w:rFonts w:ascii="Calibri" w:hAnsi="Calibri"/>
                <w:sz w:val="22"/>
              </w:rPr>
              <w:t>$500M–$1.0B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slated for later in 2026. Blackstone deal ($1.2B cash component) may affect recycling cadence.</w:t>
            </w:r>
          </w:p>
        </w:tc>
      </w:tr>
      <w:tr>
        <w:tc>
          <w:tcPr>
            <w:tcW w:type="dxa" w:w="1728"/>
          </w:tcPr>
          <w:p>
            <w:r>
              <w:rPr>
                <w:rFonts w:ascii="Calibri" w:hAnsi="Calibri"/>
                <w:sz w:val="22"/>
              </w:rPr>
              <w:t>Power-Based Occupancy — FY 2026</w:t>
            </w:r>
          </w:p>
        </w:tc>
        <w:tc>
          <w:tcPr>
            <w:tcW w:type="dxa" w:w="1728"/>
          </w:tcPr>
          <w:p>
            <w:r>
              <w:rPr>
                <w:rFonts w:ascii="Calibri" w:hAnsi="Calibri"/>
                <w:sz w:val="22"/>
              </w:rPr>
              <w:t>+50–100 bps improvement from year-end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new power-based metric replaces legacy sq. ft. occupancy as of Q1 2026 supplemental.</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print — Q2 Core FFO consensus is up ~$0.004 and full-year revenue is up ~$27M — suggesting the Street is incrementally constructive but not aggressively revising; the gap between current consensus ($8.04) and the guidance midpoint ($8.05) is essentially zero, meaning any upside must come from execution above the guided range rather than estimate catch-up.</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(Period)</w:t>
            </w:r>
          </w:p>
        </w:tc>
        <w:tc>
          <w:tcPr>
            <w:tcW w:type="dxa" w:w="1234"/>
            <w:shd w:val="clear" w:color="auto" w:fill="3B4259"/>
          </w:tcPr>
          <w:p>
            <w:r>
              <w:rPr>
                <w:rFonts w:ascii="Calibri" w:hAnsi="Calibri"/>
                <w:b/>
                <w:color w:val="FFFFFF"/>
                <w:sz w:val="22"/>
              </w:rPr>
              <w:t>Estimate ~5 Days Post Q1 Earnings (Apr. 28, 2026)</w:t>
            </w:r>
          </w:p>
        </w:tc>
        <w:tc>
          <w:tcPr>
            <w:tcW w:type="dxa" w:w="1234"/>
            <w:shd w:val="clear" w:color="auto" w:fill="3B4259"/>
          </w:tcPr>
          <w:p>
            <w:r>
              <w:rPr>
                <w:rFonts w:ascii="Calibri" w:hAnsi="Calibri"/>
                <w:b/>
                <w:color w:val="FFFFFF"/>
                <w:sz w:val="22"/>
              </w:rPr>
              <w:t>Current Consensus (Jul. 22, 2026)</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(Q1 Call)</w:t>
            </w:r>
          </w:p>
        </w:tc>
        <w:tc>
          <w:tcPr>
            <w:tcW w:type="dxa" w:w="1234"/>
            <w:shd w:val="clear" w:color="auto" w:fill="3B4259"/>
          </w:tcPr>
          <w:p>
            <w:r>
              <w:rPr>
                <w:rFonts w:ascii="Calibri" w:hAnsi="Calibri"/>
                <w:b/>
                <w:color w:val="FFFFFF"/>
                <w:sz w:val="22"/>
              </w:rPr>
              <w:t>Current Guidance / Tone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Core FFO/Share — Q2 2026</w:t>
            </w:r>
          </w:p>
        </w:tc>
        <w:tc>
          <w:tcPr>
            <w:tcW w:type="dxa" w:w="1234"/>
          </w:tcPr>
          <w:p>
            <w:r>
              <w:rPr>
                <w:rFonts w:ascii="Calibri" w:hAnsi="Calibri"/>
                <w:sz w:val="22"/>
              </w:rPr>
              <w:t>$1.977</w:t>
            </w:r>
          </w:p>
        </w:tc>
        <w:tc>
          <w:tcPr>
            <w:tcW w:type="dxa" w:w="1234"/>
          </w:tcPr>
          <w:p>
            <w:r>
              <w:rPr>
                <w:rFonts w:ascii="Calibri" w:hAnsi="Calibri"/>
                <w:sz w:val="22"/>
              </w:rPr>
              <w:t>$1.981</w:t>
            </w:r>
          </w:p>
        </w:tc>
        <w:tc>
          <w:tcPr>
            <w:tcW w:type="dxa" w:w="1234"/>
          </w:tcPr>
          <w:p>
            <w:r>
              <w:rPr>
                <w:rFonts w:ascii="Calibri" w:hAnsi="Calibri"/>
                <w:sz w:val="22"/>
              </w:rPr>
              <w:t>+0.2%</w:t>
            </w:r>
          </w:p>
        </w:tc>
        <w:tc>
          <w:tcPr>
            <w:tcW w:type="dxa" w:w="1234"/>
          </w:tcPr>
          <w:p>
            <w:r>
              <w:rPr>
                <w:rFonts w:ascii="Calibri" w:hAnsi="Calibri"/>
                <w:sz w:val="22"/>
              </w:rPr>
              <w:t>Step-down guided; no specific Q2 figure given</w:t>
            </w:r>
          </w:p>
        </w:tc>
        <w:tc>
          <w:tcPr>
            <w:tcW w:type="dxa" w:w="1234"/>
          </w:tcPr>
          <w:p>
            <w:r>
              <w:rPr>
                <w:rFonts w:ascii="Calibri" w:hAnsi="Calibri"/>
                <w:sz w:val="22"/>
              </w:rPr>
              <w:t>Unchanged; step-down confirmed</w:t>
            </w:r>
          </w:p>
        </w:tc>
        <w:tc>
          <w:tcPr>
            <w:tcW w:type="dxa" w:w="1234"/>
          </w:tcPr>
          <w:p>
            <w:r>
              <w:rPr>
                <w:rFonts w:ascii="Calibri" w:hAnsi="Calibri"/>
                <w:sz w:val="22"/>
              </w:rPr>
              <w:t>N/A — no Q2 point guidance</w:t>
            </w:r>
          </w:p>
        </w:tc>
      </w:tr>
      <w:tr>
        <w:tc>
          <w:tcPr>
            <w:tcW w:type="dxa" w:w="1234"/>
          </w:tcPr>
          <w:p>
            <w:r>
              <w:rPr>
                <w:rFonts w:ascii="Calibri" w:hAnsi="Calibri"/>
                <w:sz w:val="22"/>
              </w:rPr>
              <w:t>Core FFO/Share — FY 2026</w:t>
            </w:r>
          </w:p>
        </w:tc>
        <w:tc>
          <w:tcPr>
            <w:tcW w:type="dxa" w:w="1234"/>
          </w:tcPr>
          <w:p>
            <w:r>
              <w:rPr>
                <w:rFonts w:ascii="Calibri" w:hAnsi="Calibri"/>
                <w:sz w:val="22"/>
              </w:rPr>
              <w:t>$8.079</w:t>
            </w:r>
          </w:p>
        </w:tc>
        <w:tc>
          <w:tcPr>
            <w:tcW w:type="dxa" w:w="1234"/>
          </w:tcPr>
          <w:p>
            <w:r>
              <w:rPr>
                <w:rFonts w:ascii="Calibri" w:hAnsi="Calibri"/>
                <w:sz w:val="22"/>
              </w:rPr>
              <w:t>$8.040</w:t>
            </w:r>
          </w:p>
        </w:tc>
        <w:tc>
          <w:tcPr>
            <w:tcW w:type="dxa" w:w="1234"/>
          </w:tcPr>
          <w:p>
            <w:r>
              <w:rPr>
                <w:rFonts w:ascii="Calibri" w:hAnsi="Calibri"/>
                <w:sz w:val="22"/>
              </w:rPr>
              <w:t>−0.5%</w:t>
            </w:r>
          </w:p>
        </w:tc>
        <w:tc>
          <w:tcPr>
            <w:tcW w:type="dxa" w:w="1234"/>
          </w:tcPr>
          <w:p>
            <w:r>
              <w:rPr>
                <w:rFonts w:ascii="Calibri" w:hAnsi="Calibri"/>
                <w:sz w:val="22"/>
              </w:rPr>
              <w:t>$8.00–$8.10 (mid: $8.05)</w:t>
            </w:r>
          </w:p>
        </w:tc>
        <w:tc>
          <w:tcPr>
            <w:tcW w:type="dxa" w:w="1234"/>
          </w:tcPr>
          <w:p>
            <w:r>
              <w:rPr>
                <w:rFonts w:ascii="Calibri" w:hAnsi="Calibri"/>
                <w:sz w:val="22"/>
              </w:rPr>
              <w:t>Trending to high end; “feeling closer to double digits” (Nareit Jun. 3)</w:t>
            </w:r>
          </w:p>
        </w:tc>
        <w:tc>
          <w:tcPr>
            <w:tcW w:type="dxa" w:w="1234"/>
          </w:tcPr>
          <w:p>
            <w:r>
              <w:rPr>
                <w:rFonts w:ascii="Calibri" w:hAnsi="Calibri"/>
                <w:sz w:val="22"/>
              </w:rPr>
              <w:t>−0.1% vs. midpoint; essentially at midpoint</w:t>
            </w:r>
          </w:p>
        </w:tc>
      </w:tr>
      <w:tr>
        <w:tc>
          <w:tcPr>
            <w:tcW w:type="dxa" w:w="1234"/>
          </w:tcPr>
          <w:p>
            <w:r>
              <w:rPr>
                <w:rFonts w:ascii="Calibri" w:hAnsi="Calibri"/>
                <w:sz w:val="22"/>
              </w:rPr>
              <w:t>Total Revenue — Q2 2026</w:t>
            </w:r>
          </w:p>
        </w:tc>
        <w:tc>
          <w:tcPr>
            <w:tcW w:type="dxa" w:w="1234"/>
          </w:tcPr>
          <w:p>
            <w:r>
              <w:rPr>
                <w:rFonts w:ascii="Calibri" w:hAnsi="Calibri"/>
                <w:sz w:val="22"/>
              </w:rPr>
              <w:t>$1,645.9M</w:t>
            </w:r>
          </w:p>
        </w:tc>
        <w:tc>
          <w:tcPr>
            <w:tcW w:type="dxa" w:w="1234"/>
          </w:tcPr>
          <w:p>
            <w:r>
              <w:rPr>
                <w:rFonts w:ascii="Calibri" w:hAnsi="Calibri"/>
                <w:sz w:val="22"/>
              </w:rPr>
              <w:t>$1,654.9M</w:t>
            </w:r>
          </w:p>
        </w:tc>
        <w:tc>
          <w:tcPr>
            <w:tcW w:type="dxa" w:w="1234"/>
          </w:tcPr>
          <w:p>
            <w:r>
              <w:rPr>
                <w:rFonts w:ascii="Calibri" w:hAnsi="Calibri"/>
                <w:sz w:val="22"/>
              </w:rPr>
              <w:t>+0.5%</w:t>
            </w:r>
          </w:p>
        </w:tc>
        <w:tc>
          <w:tcPr>
            <w:tcW w:type="dxa" w:w="1234"/>
          </w:tcPr>
          <w:p>
            <w:r>
              <w:rPr>
                <w:rFonts w:ascii="Calibri" w:hAnsi="Calibri"/>
                <w:sz w:val="22"/>
              </w:rPr>
              <w:t>No quarterly revenue guidance</w:t>
            </w:r>
          </w:p>
        </w:tc>
        <w:tc>
          <w:tcPr>
            <w:tcW w:type="dxa" w:w="1234"/>
          </w:tcPr>
          <w:p>
            <w:r>
              <w:rPr>
                <w:rFonts w:ascii="Calibri" w:hAnsi="Calibri"/>
                <w:sz w:val="22"/>
              </w:rPr>
              <w:t>No change in tone</w:t>
            </w:r>
          </w:p>
        </w:tc>
        <w:tc>
          <w:tcPr>
            <w:tcW w:type="dxa" w:w="1234"/>
          </w:tcPr>
          <w:p>
            <w:r>
              <w:rPr>
                <w:rFonts w:ascii="Calibri" w:hAnsi="Calibri"/>
                <w:sz w:val="22"/>
              </w:rPr>
              <w:t>N/A</w:t>
            </w:r>
          </w:p>
        </w:tc>
      </w:tr>
      <w:tr>
        <w:tc>
          <w:tcPr>
            <w:tcW w:type="dxa" w:w="1234"/>
          </w:tcPr>
          <w:p>
            <w:r>
              <w:rPr>
                <w:rFonts w:ascii="Calibri" w:hAnsi="Calibri"/>
                <w:sz w:val="22"/>
              </w:rPr>
              <w:t>Total Revenue — FY 2026</w:t>
            </w:r>
          </w:p>
        </w:tc>
        <w:tc>
          <w:tcPr>
            <w:tcW w:type="dxa" w:w="1234"/>
          </w:tcPr>
          <w:p>
            <w:r>
              <w:rPr>
                <w:rFonts w:ascii="Calibri" w:hAnsi="Calibri"/>
                <w:sz w:val="22"/>
              </w:rPr>
              <w:t>$6,726.5M</w:t>
            </w:r>
          </w:p>
        </w:tc>
        <w:tc>
          <w:tcPr>
            <w:tcW w:type="dxa" w:w="1234"/>
          </w:tcPr>
          <w:p>
            <w:r>
              <w:rPr>
                <w:rFonts w:ascii="Calibri" w:hAnsi="Calibri"/>
                <w:sz w:val="22"/>
              </w:rPr>
              <w:t>$6,753.7M</w:t>
            </w:r>
          </w:p>
        </w:tc>
        <w:tc>
          <w:tcPr>
            <w:tcW w:type="dxa" w:w="1234"/>
          </w:tcPr>
          <w:p>
            <w:r>
              <w:rPr>
                <w:rFonts w:ascii="Calibri" w:hAnsi="Calibri"/>
                <w:sz w:val="22"/>
              </w:rPr>
              <w:t>+0.4%</w:t>
            </w:r>
          </w:p>
        </w:tc>
        <w:tc>
          <w:tcPr>
            <w:tcW w:type="dxa" w:w="1234"/>
          </w:tcPr>
          <w:p>
            <w:r>
              <w:rPr>
                <w:rFonts w:ascii="Calibri" w:hAnsi="Calibri"/>
                <w:sz w:val="22"/>
              </w:rPr>
              <w:t>No explicit FY revenue guidance</w:t>
            </w:r>
          </w:p>
        </w:tc>
        <w:tc>
          <w:tcPr>
            <w:tcW w:type="dxa" w:w="1234"/>
          </w:tcPr>
          <w:p>
            <w:r>
              <w:rPr>
                <w:rFonts w:ascii="Calibri" w:hAnsi="Calibri"/>
                <w:sz w:val="22"/>
              </w:rPr>
              <w:t>10%+ top-line growth targeted</w:t>
            </w:r>
          </w:p>
        </w:tc>
        <w:tc>
          <w:tcPr>
            <w:tcW w:type="dxa" w:w="1234"/>
          </w:tcPr>
          <w:p>
            <w:r>
              <w:rPr>
                <w:rFonts w:ascii="Calibri" w:hAnsi="Calibri"/>
                <w:sz w:val="22"/>
              </w:rPr>
              <w:t>N/A</w:t>
            </w:r>
          </w:p>
        </w:tc>
      </w:tr>
      <w:tr>
        <w:tc>
          <w:tcPr>
            <w:tcW w:type="dxa" w:w="1234"/>
          </w:tcPr>
          <w:p>
            <w:r>
              <w:rPr>
                <w:rFonts w:ascii="Calibri" w:hAnsi="Calibri"/>
                <w:sz w:val="22"/>
              </w:rPr>
              <w:t>0–1 MW Leasing — Q2 2026</w:t>
            </w:r>
          </w:p>
        </w:tc>
        <w:tc>
          <w:tcPr>
            <w:tcW w:type="dxa" w:w="1234"/>
          </w:tcPr>
          <w:p>
            <w:r>
              <w:rPr>
                <w:rFonts w:ascii="Calibri" w:hAnsi="Calibri"/>
                <w:sz w:val="22"/>
              </w:rPr>
              <w:t>$73.7M</w:t>
            </w:r>
          </w:p>
        </w:tc>
        <w:tc>
          <w:tcPr>
            <w:tcW w:type="dxa" w:w="1234"/>
          </w:tcPr>
          <w:p>
            <w:r>
              <w:rPr>
                <w:rFonts w:ascii="Calibri" w:hAnsi="Calibri"/>
                <w:sz w:val="22"/>
              </w:rPr>
              <w:t>$73.7M</w:t>
            </w:r>
          </w:p>
        </w:tc>
        <w:tc>
          <w:tcPr>
            <w:tcW w:type="dxa" w:w="1234"/>
          </w:tcPr>
          <w:p>
            <w:r>
              <w:rPr>
                <w:rFonts w:ascii="Calibri" w:hAnsi="Calibri"/>
                <w:sz w:val="22"/>
              </w:rPr>
              <w:t>0.0%</w:t>
            </w:r>
          </w:p>
        </w:tc>
        <w:tc>
          <w:tcPr>
            <w:tcW w:type="dxa" w:w="1234"/>
          </w:tcPr>
          <w:p>
            <w:r>
              <w:rPr>
                <w:rFonts w:ascii="Calibri" w:hAnsi="Calibri"/>
                <w:sz w:val="22"/>
              </w:rPr>
              <w:t>No quarterly booking guidance</w:t>
            </w:r>
          </w:p>
        </w:tc>
        <w:tc>
          <w:tcPr>
            <w:tcW w:type="dxa" w:w="1234"/>
          </w:tcPr>
          <w:p>
            <w:r>
              <w:rPr>
                <w:rFonts w:ascii="Calibri" w:hAnsi="Calibri"/>
                <w:sz w:val="22"/>
              </w:rPr>
              <w:t>Approaching $100M/quarter run rate (Nareit)</w:t>
            </w:r>
          </w:p>
        </w:tc>
        <w:tc>
          <w:tcPr>
            <w:tcW w:type="dxa" w:w="1234"/>
          </w:tcPr>
          <w:p>
            <w:r>
              <w:rPr>
                <w:rFonts w:ascii="Calibri" w:hAnsi="Calibri"/>
                <w:sz w:val="22"/>
              </w:rPr>
              <w:t>Consensus below management’s directional target</w:t>
            </w:r>
          </w:p>
        </w:tc>
      </w:tr>
      <w:tr>
        <w:tc>
          <w:tcPr>
            <w:tcW w:type="dxa" w:w="1234"/>
          </w:tcPr>
          <w:p>
            <w:r>
              <w:rPr>
                <w:rFonts w:ascii="Calibri" w:hAnsi="Calibri"/>
                <w:sz w:val="22"/>
              </w:rPr>
              <w:t>Total Lease Signings — Q2 2026</w:t>
            </w:r>
          </w:p>
        </w:tc>
        <w:tc>
          <w:tcPr>
            <w:tcW w:type="dxa" w:w="1234"/>
          </w:tcPr>
          <w:p>
            <w:r>
              <w:rPr>
                <w:rFonts w:ascii="Calibri" w:hAnsi="Calibri"/>
                <w:sz w:val="22"/>
              </w:rPr>
              <w:t>$197.5M</w:t>
            </w:r>
          </w:p>
        </w:tc>
        <w:tc>
          <w:tcPr>
            <w:tcW w:type="dxa" w:w="1234"/>
          </w:tcPr>
          <w:p>
            <w:r>
              <w:rPr>
                <w:rFonts w:ascii="Calibri" w:hAnsi="Calibri"/>
                <w:sz w:val="22"/>
              </w:rPr>
              <w:t>$199.2M</w:t>
            </w:r>
          </w:p>
        </w:tc>
        <w:tc>
          <w:tcPr>
            <w:tcW w:type="dxa" w:w="1234"/>
          </w:tcPr>
          <w:p>
            <w:r>
              <w:rPr>
                <w:rFonts w:ascii="Calibri" w:hAnsi="Calibri"/>
                <w:sz w:val="22"/>
              </w:rPr>
              <w:t>+0.9%</w:t>
            </w:r>
          </w:p>
        </w:tc>
        <w:tc>
          <w:tcPr>
            <w:tcW w:type="dxa" w:w="1234"/>
          </w:tcPr>
          <w:p>
            <w:r>
              <w:rPr>
                <w:rFonts w:ascii="Calibri" w:hAnsi="Calibri"/>
                <w:sz w:val="22"/>
              </w:rPr>
              <w:t>No quarterly booking guidance</w:t>
            </w:r>
          </w:p>
        </w:tc>
        <w:tc>
          <w:tcPr>
            <w:tcW w:type="dxa" w:w="1234"/>
          </w:tcPr>
          <w:p>
            <w:r>
              <w:rPr>
                <w:rFonts w:ascii="Calibri" w:hAnsi="Calibri"/>
                <w:sz w:val="22"/>
              </w:rPr>
              <w:t>FY: $1.13B consensus</w:t>
            </w:r>
          </w:p>
        </w:tc>
        <w:tc>
          <w:tcPr>
            <w:tcW w:type="dxa" w:w="1234"/>
          </w:tcPr>
          <w:p>
            <w:r>
              <w:rPr>
                <w:rFonts w:ascii="Calibri" w:hAnsi="Calibri"/>
                <w:sz w:val="22"/>
              </w:rPr>
              <w:t>N/A</w:t>
            </w:r>
          </w:p>
        </w:tc>
      </w:tr>
    </w:tbl>
    <w:p>
      <w:r>
        <w:rPr>
          <w:rFonts w:ascii="Calibri" w:hAnsi="Calibri"/>
          <w:i/>
          <w:color w:val="525866"/>
          <w:sz w:val="22"/>
        </w:rPr>
        <w:t>Estimates have been remarkably stable since the Q1 print, with revisions of less than 1% across all tracked KPIs. The most notable divergence is in 0–1 MW bookings, where consensus at $73.7M sits well below management’s directional commentary of “approaching $100M a quarter” — this gap represents either a meaningful upside catalyst if management’s trajectory holds, or a signal that the Street is appropriately discounting the Q1 record as a high-water mark.</w:t>
      </w:r>
    </w:p>
    <w:p>
      <w:r>
        <w:rPr>
          <w:rFonts w:ascii="Calibri" w:hAnsi="Calibri"/>
          <w:i/>
          <w:color w:val="525866"/>
          <w:sz w:val="22"/>
        </w:rPr>
        <w:t>Source: Visible Alpha Consensus and Actuals Data. As-of date for baseline: April 28, 2026 (5 trading days post Q1 earnings).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DLR has significantly underperformed since Q1 earnings — down ~11% vs. the S&amp;P 500’s +5.5% gain — driven primarily by the June 29 Blackstone acquisition announcement which introduced $2.3B in share issuance and near-term dilution concerns, not by any deterioration in underlying fundamentals or estimate revisions.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DLR vs. EQIX vs. S&amp;P 500 (SPY) — Indexed to 100 at April 23, 2026 (Q1 2026 Earnings Date). Source: Yahoo Finance.</w:t>
      </w:r>
    </w:p>
    <w:p>
      <w:r>
        <w:rPr>
          <w:rFonts w:ascii="Calibri" w:hAnsi="Calibri"/>
          <w:color w:val="525866"/>
          <w:sz w:val="22"/>
        </w:rPr>
        <w:t>DLR opened Q2 essentially flat at the Q1 earnings close ($200), then drifted lower through May as the market digested the development pipeline ramp and elevated CapEx. The stock accelerated its decline in June, falling sharply around the June 22 acquisition announcements (Columbia Capital, Teraco stake increase) and then dropping further on June 29–30 when the $7.8B Blackstone data center acquisition was announced — the $2.3B equity component (issued at ~$190/share) was the primary overhang. By early July, DLR had fallen to ~$173, a level not seen since early 2026. EQIX followed a similar trajectory (down ~7% over the same period) reflecting sector-wide pressure, while the S&amp;P 500 gained ~5.5%. The stock has partially recovered to ~$178 as of July 22, but remains ~11% below the Q1 earnings close. The underperformance appears sentiment- and dilution-driven rather than fundamental, creating a potentially attractive setup if Q2 bookings and management’s back-half confidence narrative hold on the call.</w:t>
      </w:r>
    </w:p>
    <w:p>
      <w:r>
        <w:br w:type="page"/>
      </w:r>
    </w:p>
    <w:p>
      <w:pPr>
        <w:pStyle w:val="Heading1"/>
        <w:pBdr>
          <w:bottom w:val="single" w:sz="4" w:space="1" w:color="FB9120"/>
        </w:pBdr>
      </w:pPr>
      <w:r>
        <w:rPr>
          <w:rFonts w:ascii="Calibri" w:hAnsi="Calibri"/>
          <w:b/>
          <w:color w:val="3B4259"/>
          <w:sz w:val="40"/>
        </w:rPr>
        <w:t>6. Peer Commentaries — Read-Through for Q2 2026</w:t>
      </w:r>
    </w:p>
    <w:p>
      <w:r>
        <w:rPr>
          <w:rFonts w:ascii="Calibri" w:hAnsi="Calibri"/>
          <w:b/>
          <w:color w:val="525866"/>
          <w:sz w:val="22"/>
        </w:rPr>
        <w:t xml:space="preserve">Key Takeaway: </w:t>
      </w:r>
      <w:r>
        <w:rPr>
          <w:rFonts w:ascii="Calibri" w:hAnsi="Calibri"/>
          <w:color w:val="525866"/>
          <w:sz w:val="22"/>
        </w:rPr>
        <w:t>Peer commentary since DLR’s Q1 earnings is uniformly bullish on data center demand — EQIX reported its largest-ever sales quarter in Q1 and confirmed 10% recurring revenue growth in both Q1 and Q2, IRM flagged hyperscale demand as “very strong” with leasing tracking meaningfully above guidance, and AMT’s CoreSite is delivering double-digit growth with private AI deployments arriving earlier than expected — all of which are constructive read-throughs for DLR’s Q2 bookings and pricing environment.</w:t>
      </w:r>
    </w:p>
    <w:p>
      <w:r>
        <w:rPr>
          <w:rFonts w:ascii="Calibri" w:hAnsi="Calibri"/>
          <w:i/>
          <w:color w:val="525866"/>
          <w:sz w:val="22"/>
        </w:rPr>
        <w:t>Note: Only commentary from after DLR’s Q1 2026 earnings (April 23, 2026) that speaks to current-quarter (Q2 2026) trends or the forward demand environment is included below. Prior-quarter result discussions are excluded.</w:t>
      </w:r>
    </w:p>
    <w:p>
      <w:pPr>
        <w:pStyle w:val="Heading2"/>
      </w:pPr>
      <w:r>
        <w:rPr>
          <w:rFonts w:ascii="Calibri" w:hAnsi="Calibri"/>
          <w:b/>
          <w:color w:val="3B4259"/>
          <w:sz w:val="28"/>
        </w:rPr>
        <w:t>Equinix (EQIX) — Q1 2026 Earnings Call (April 29, 2026)</w:t>
      </w:r>
    </w:p>
    <w:p>
      <w:r>
        <w:rPr>
          <w:rFonts w:ascii="Calibri" w:hAnsi="Calibri"/>
          <w:b/>
          <w:color w:val="525866"/>
          <w:sz w:val="22"/>
        </w:rPr>
        <w:t xml:space="preserve">Relevance to DLR: </w:t>
      </w:r>
      <w:r>
        <w:rPr>
          <w:rFonts w:ascii="Calibri" w:hAnsi="Calibri"/>
          <w:color w:val="525866"/>
          <w:sz w:val="22"/>
        </w:rPr>
        <w:t>EQIX is DLR’s closest data center REIT peer. Its Q1 results and Q2 guidance provide the most direct read-through on enterprise colocation demand, AI workload adoption, and pricing trends heading into DLR’s Q2 print.</w:t>
      </w:r>
    </w:p>
    <w:p>
      <w:pPr>
        <w:pStyle w:val="ListBullet"/>
        <w:ind w:left="360" w:hanging="360"/>
      </w:pPr>
      <w:r>
        <w:rPr>
          <w:rFonts w:ascii="Calibri" w:hAnsi="Calibri"/>
          <w:b/>
          <w:color w:val="525866"/>
          <w:sz w:val="22"/>
        </w:rPr>
        <w:t xml:space="preserve">Record sales quarter: </w:t>
      </w:r>
      <w:r>
        <w:rPr>
          <w:rFonts w:ascii="Calibri" w:hAnsi="Calibri"/>
          <w:color w:val="525866"/>
          <w:sz w:val="22"/>
        </w:rPr>
        <w:t>Q1 2026 was EQIX’s “largest quarter of total sales activity in company history,” with total sales activity up more than 35% year-over-year and a record backlog of cabinets sold but not yet installed. This is a direct positive read-through for DLR’s enterprise colo bookings momentum.</w:t>
      </w:r>
    </w:p>
    <w:p>
      <w:pPr>
        <w:pStyle w:val="ListBullet"/>
        <w:ind w:left="360" w:hanging="360"/>
      </w:pPr>
      <w:r>
        <w:rPr>
          <w:rFonts w:ascii="Calibri" w:hAnsi="Calibri"/>
          <w:b/>
          <w:color w:val="525866"/>
          <w:sz w:val="22"/>
        </w:rPr>
        <w:t xml:space="preserve">Q2 2026 guidance confirmed strong: </w:t>
      </w:r>
      <w:r>
        <w:rPr>
          <w:rFonts w:ascii="Calibri" w:hAnsi="Calibri"/>
          <w:color w:val="525866"/>
          <w:sz w:val="22"/>
        </w:rPr>
        <w:t>EQIX guided Q2 MRR growth of 10%–11% year-over-year and confirmed at the June Nareit conference that it “did that in Q1 and did that in Q2” — meaning double-digit recurring revenue growth is already confirmed for the current quarter. EQIX also raised full-year guidance by $21M on revenue and $40M on AFFO.</w:t>
      </w:r>
    </w:p>
    <w:p>
      <w:pPr>
        <w:pStyle w:val="ListBullet"/>
        <w:ind w:left="360" w:hanging="360"/>
      </w:pPr>
      <w:r>
        <w:rPr>
          <w:rFonts w:ascii="Calibri" w:hAnsi="Calibri"/>
          <w:b/>
          <w:color w:val="525866"/>
          <w:sz w:val="22"/>
        </w:rPr>
        <w:t xml:space="preserve">AI demand converting to enterprise-wide adoption: </w:t>
      </w:r>
      <w:r>
        <w:rPr>
          <w:rFonts w:ascii="Calibri" w:hAnsi="Calibri"/>
          <w:color w:val="525866"/>
          <w:sz w:val="22"/>
        </w:rPr>
        <w:t>Management noted customer conversations have “shifted from piloting AI a year ago to enterprise-wide adoption at scale,” with ~60% of EQIX’s largest Q1 deals AI-related and large capacity fabric connections tripling year-over-year. Agentic AI moving “from demos into distributed deployments” is a new demand layer. This mirrors DLR’s own commentary on AI inference demand and is constructive for DLR’s 0–1 MW enterprise bookings.</w:t>
      </w:r>
    </w:p>
    <w:p>
      <w:pPr>
        <w:pStyle w:val="ListBullet"/>
        <w:ind w:left="360" w:hanging="360"/>
      </w:pPr>
      <w:r>
        <w:rPr>
          <w:rFonts w:ascii="Calibri" w:hAnsi="Calibri"/>
          <w:b/>
          <w:color w:val="525866"/>
          <w:sz w:val="22"/>
        </w:rPr>
        <w:t xml:space="preserve">Pricing firm: </w:t>
      </w:r>
      <w:r>
        <w:rPr>
          <w:rFonts w:ascii="Calibri" w:hAnsi="Calibri"/>
          <w:color w:val="525866"/>
          <w:sz w:val="22"/>
        </w:rPr>
        <w:t>MRR per cabinet increased to $2,524, up 7% year-over-year, with management stating “pricing remains firm whether we’re looking at presales or bookings within the quarter.” Churn tracking toward the low end of 2%–2.5% guidance. Supportive of DLR’s re-leasing spread trajectory.</w:t>
      </w:r>
    </w:p>
    <w:p>
      <w:pPr>
        <w:pStyle w:val="ListBullet"/>
        <w:ind w:left="360" w:hanging="360"/>
      </w:pPr>
      <w:r>
        <w:rPr>
          <w:rFonts w:ascii="Calibri" w:hAnsi="Calibri"/>
          <w:b/>
          <w:color w:val="525866"/>
          <w:sz w:val="22"/>
        </w:rPr>
        <w:t xml:space="preserve">Liquid cooling demand accelerating: </w:t>
      </w:r>
      <w:r>
        <w:rPr>
          <w:rFonts w:ascii="Calibri" w:hAnsi="Calibri"/>
          <w:color w:val="525866"/>
          <w:sz w:val="22"/>
        </w:rPr>
        <w:t>Liquid cooling orders grew 50% quarter-over-quarter in Q1, with 36 total deployments across EQIX’s footprint. This validates DLR’s HD Colo and liquid cooling retrofit strategy as a real demand driver, not just a future option.</w:t>
      </w:r>
    </w:p>
    <w:p>
      <w:pPr>
        <w:pStyle w:val="ListBullet"/>
        <w:ind w:left="360" w:hanging="360"/>
      </w:pPr>
      <w:r>
        <w:rPr>
          <w:rFonts w:ascii="Calibri" w:hAnsi="Calibri"/>
          <w:b/>
          <w:color w:val="525866"/>
          <w:sz w:val="22"/>
        </w:rPr>
        <w:t xml:space="preserve">Power availability: </w:t>
      </w:r>
      <w:r>
        <w:rPr>
          <w:rFonts w:ascii="Calibri" w:hAnsi="Calibri"/>
          <w:color w:val="525866"/>
          <w:sz w:val="22"/>
        </w:rPr>
        <w:t>EQIX stated it has been “largely immune” from power constraints and has “not experienced any delay,” with 3 gigawatts of land under control. This contrasts with DLR’s acknowledgment of power as a “bigger constraint” — though DLR frames this as a competitive moat given its existing land bank.</w:t>
      </w:r>
    </w:p>
    <w:p>
      <w:pPr>
        <w:pStyle w:val="Heading2"/>
      </w:pPr>
      <w:r>
        <w:rPr>
          <w:rFonts w:ascii="Calibri" w:hAnsi="Calibri"/>
          <w:b/>
          <w:color w:val="3B4259"/>
          <w:sz w:val="28"/>
        </w:rPr>
        <w:t>Equinix (EQIX) — Nareit REITweek Conference (June 3, 2026)</w:t>
      </w:r>
    </w:p>
    <w:p>
      <w:r>
        <w:rPr>
          <w:rFonts w:ascii="Calibri" w:hAnsi="Calibri"/>
          <w:b/>
          <w:color w:val="525866"/>
          <w:sz w:val="22"/>
        </w:rPr>
        <w:t xml:space="preserve">Relevance to DLR: </w:t>
      </w:r>
      <w:r>
        <w:rPr>
          <w:rFonts w:ascii="Calibri" w:hAnsi="Calibri"/>
          <w:color w:val="525866"/>
          <w:sz w:val="22"/>
        </w:rPr>
        <w:t>EQIX’s CFO provided explicit Q2 2026 confirmation and forward-looking commentary at the same conference where DLR’s management spoke — the most current peer data point available before DLR’s Q2 print.</w:t>
      </w:r>
    </w:p>
    <w:p>
      <w:pPr>
        <w:pStyle w:val="ListBullet"/>
        <w:ind w:left="360" w:hanging="360"/>
      </w:pPr>
      <w:r>
        <w:rPr>
          <w:rFonts w:ascii="Calibri" w:hAnsi="Calibri"/>
          <w:b/>
          <w:color w:val="525866"/>
          <w:sz w:val="22"/>
        </w:rPr>
        <w:t xml:space="preserve">Q2 2026 recurring revenue growth explicitly confirmed: </w:t>
      </w:r>
      <w:r>
        <w:rPr>
          <w:rFonts w:ascii="Calibri" w:hAnsi="Calibri"/>
          <w:color w:val="525866"/>
          <w:sz w:val="22"/>
        </w:rPr>
        <w:t>EQIX CFO Olivier Leonetti stated the company is targeting 10% recurring revenue growth for the year and confirmed “we did that in Q1 and we did that in Q2” — a rare mid-quarter confirmation of double-digit growth already in the books. EQIX also confirmed a 51% EBITDA margin and 10% AFFO per share growth. This is the strongest possible read-through for sector demand health heading into DLR’s print.</w:t>
      </w:r>
    </w:p>
    <w:p>
      <w:pPr>
        <w:pStyle w:val="ListBullet"/>
        <w:ind w:left="360" w:hanging="360"/>
      </w:pPr>
      <w:r>
        <w:rPr>
          <w:rFonts w:ascii="Calibri" w:hAnsi="Calibri"/>
          <w:b/>
          <w:color w:val="525866"/>
          <w:sz w:val="22"/>
        </w:rPr>
        <w:t xml:space="preserve">AI revolution “at the start”: </w:t>
      </w:r>
      <w:r>
        <w:rPr>
          <w:rFonts w:ascii="Calibri" w:hAnsi="Calibri"/>
          <w:color w:val="525866"/>
          <w:sz w:val="22"/>
        </w:rPr>
        <w:t>Management described the AI opportunity as “playing out in a way which is augmented relative to what we had expected,” with end markets “stronger” and ability to deliver “stronger.” The company is doubling capacity and has 4 of the top 5 neoclouds and 8 of the top AI labs as customers. Validates DLR’s hyperscale and enterprise AI demand narrative.</w:t>
      </w:r>
    </w:p>
    <w:p>
      <w:pPr>
        <w:pStyle w:val="ListBullet"/>
        <w:ind w:left="360" w:hanging="360"/>
      </w:pPr>
      <w:r>
        <w:rPr>
          <w:rFonts w:ascii="Calibri" w:hAnsi="Calibri"/>
          <w:b/>
          <w:color w:val="525866"/>
          <w:sz w:val="22"/>
        </w:rPr>
        <w:t xml:space="preserve">Capacity constraints solved: </w:t>
      </w:r>
      <w:r>
        <w:rPr>
          <w:rFonts w:ascii="Calibri" w:hAnsi="Calibri"/>
          <w:color w:val="525866"/>
          <w:sz w:val="22"/>
        </w:rPr>
        <w:t>EQIX stated it has “solved the capacity constraints and the financing constraint,” with access to “more land, power, water, and power management equipment than we need for the next 5 years.” This is a positive signal for the broader sector’s ability to meet demand, though it also implies EQIX is not supply-constrained in a way that would redirect demand to DLR.</w:t>
      </w:r>
    </w:p>
    <w:p>
      <w:pPr>
        <w:pStyle w:val="ListBullet"/>
        <w:ind w:left="360" w:hanging="360"/>
      </w:pPr>
      <w:r>
        <w:rPr>
          <w:rFonts w:ascii="Calibri" w:hAnsi="Calibri"/>
          <w:b/>
          <w:color w:val="525866"/>
          <w:sz w:val="22"/>
        </w:rPr>
        <w:t xml:space="preserve">Density increasing rapidly: </w:t>
      </w:r>
      <w:r>
        <w:rPr>
          <w:rFonts w:ascii="Calibri" w:hAnsi="Calibri"/>
          <w:color w:val="525866"/>
          <w:sz w:val="22"/>
        </w:rPr>
        <w:t>Average rack density at EQIX increased 36% in Q1, with 100-kilowatt liquid-cooled racks now deployed. New facilities being built toward higher densities. Confirms the AI-driven densification trend that DLR is also capitalizing on through its HD Colo program.</w:t>
      </w:r>
    </w:p>
    <w:p>
      <w:pPr>
        <w:pStyle w:val="Heading2"/>
      </w:pPr>
      <w:r>
        <w:rPr>
          <w:rFonts w:ascii="Calibri" w:hAnsi="Calibri"/>
          <w:b/>
          <w:color w:val="3B4259"/>
          <w:sz w:val="28"/>
        </w:rPr>
        <w:t>Iron Mountain (IRM) — Q1 2026 Earnings Call (April 30, 2026)</w:t>
      </w:r>
    </w:p>
    <w:p>
      <w:r>
        <w:rPr>
          <w:rFonts w:ascii="Calibri" w:hAnsi="Calibri"/>
          <w:b/>
          <w:color w:val="525866"/>
          <w:sz w:val="22"/>
        </w:rPr>
        <w:t xml:space="preserve">Relevance to DLR: </w:t>
      </w:r>
      <w:r>
        <w:rPr>
          <w:rFonts w:ascii="Calibri" w:hAnsi="Calibri"/>
          <w:color w:val="525866"/>
          <w:sz w:val="22"/>
        </w:rPr>
        <w:t>IRM is a smaller but fast-growing data center operator with significant hyperscale leasing activity. Its Q1 results and forward commentary provide read-through on hyperscale demand strength, pricing, and leasing pace heading into Q2.</w:t>
      </w:r>
    </w:p>
    <w:p>
      <w:pPr>
        <w:pStyle w:val="ListBullet"/>
        <w:ind w:left="360" w:hanging="360"/>
      </w:pPr>
      <w:r>
        <w:rPr>
          <w:rFonts w:ascii="Calibri" w:hAnsi="Calibri"/>
          <w:b/>
          <w:color w:val="525866"/>
          <w:sz w:val="22"/>
        </w:rPr>
        <w:t xml:space="preserve">Hyperscale demand “very strong”: </w:t>
      </w:r>
      <w:r>
        <w:rPr>
          <w:rFonts w:ascii="Calibri" w:hAnsi="Calibri"/>
          <w:color w:val="525866"/>
          <w:sz w:val="22"/>
        </w:rPr>
        <w:t>IRM management stated “industry demand remains very strong with hyperscalers continuing to build out inference and cloud capacity.” Data center revenue grew 47% year-over-year in Q1 to $255M, driven by lease commencements, positive pricing, and customers “ramping power faster than expected.” The faster-than-expected power ramp is a direct positive read-through for DLR’s backlog commencement timeline.</w:t>
      </w:r>
    </w:p>
    <w:p>
      <w:pPr>
        <w:pStyle w:val="ListBullet"/>
        <w:ind w:left="360" w:hanging="360"/>
      </w:pPr>
      <w:r>
        <w:rPr>
          <w:rFonts w:ascii="Calibri" w:hAnsi="Calibri"/>
          <w:b/>
          <w:color w:val="525866"/>
          <w:sz w:val="22"/>
        </w:rPr>
        <w:t xml:space="preserve">Full-year leasing tracking “meaningfully above” guidance: </w:t>
      </w:r>
      <w:r>
        <w:rPr>
          <w:rFonts w:ascii="Calibri" w:hAnsi="Calibri"/>
          <w:color w:val="525866"/>
          <w:sz w:val="22"/>
        </w:rPr>
        <w:t>IRM guided 100 MW of leasing for the full year but stated it expects to be “meaningfully above” that figure based on advanced discussions across its 400 MW portfolio. 32 MW leased year-to-date through April. This signals robust hyperscale demand that is not slowing into Q2.</w:t>
      </w:r>
    </w:p>
    <w:p>
      <w:pPr>
        <w:pStyle w:val="ListBullet"/>
        <w:ind w:left="360" w:hanging="360"/>
      </w:pPr>
      <w:r>
        <w:rPr>
          <w:rFonts w:ascii="Calibri" w:hAnsi="Calibri"/>
          <w:b/>
          <w:color w:val="525866"/>
          <w:sz w:val="22"/>
        </w:rPr>
        <w:t xml:space="preserve">Pricing up double digits on new leases: </w:t>
      </w:r>
      <w:r>
        <w:rPr>
          <w:rFonts w:ascii="Calibri" w:hAnsi="Calibri"/>
          <w:color w:val="525866"/>
          <w:sz w:val="22"/>
        </w:rPr>
        <w:t>Management noted new lease pricing is “up nicely, like double digits” compared to the prior couple of quarters, with renewal spreads of 12% cash / 14% GAAP. This is a strong read-through for DLR’s re-leasing spread trajectory and pricing power narrative.</w:t>
      </w:r>
    </w:p>
    <w:p>
      <w:pPr>
        <w:pStyle w:val="ListBullet"/>
        <w:ind w:left="360" w:hanging="360"/>
      </w:pPr>
      <w:r>
        <w:rPr>
          <w:rFonts w:ascii="Calibri" w:hAnsi="Calibri"/>
          <w:b/>
          <w:color w:val="525866"/>
          <w:sz w:val="22"/>
        </w:rPr>
        <w:t xml:space="preserve">Global demand breadth: </w:t>
      </w:r>
      <w:r>
        <w:rPr>
          <w:rFonts w:ascii="Calibri" w:hAnsi="Calibri"/>
          <w:color w:val="525866"/>
          <w:sz w:val="22"/>
        </w:rPr>
        <w:t>IRM described “fairly advanced conversations” across the globe “from India all the way to Virginia,” with a new 10 MW Amsterdam lease signed in April to a major global cloud player new to the portfolio. Validates DLR’s global platform thesis and APAC/EMEA expansion strategy.</w:t>
      </w:r>
    </w:p>
    <w:p>
      <w:pPr>
        <w:pStyle w:val="ListBullet"/>
        <w:ind w:left="360" w:hanging="360"/>
      </w:pPr>
      <w:r>
        <w:rPr>
          <w:rFonts w:ascii="Calibri" w:hAnsi="Calibri"/>
          <w:b/>
          <w:color w:val="525866"/>
          <w:sz w:val="22"/>
        </w:rPr>
        <w:t xml:space="preserve">Customers ramping faster than expected: </w:t>
      </w:r>
      <w:r>
        <w:rPr>
          <w:rFonts w:ascii="Calibri" w:hAnsi="Calibri"/>
          <w:color w:val="525866"/>
          <w:sz w:val="22"/>
        </w:rPr>
        <w:t>IRM noted clients are experiencing “very strong growth in cloud and AI deployments” causing usage to “ramp faster” than anticipated. This is a direct positive read-through for DLR’s backlog commencement schedule and potential upside to 2026 revenue recognition.</w:t>
      </w:r>
    </w:p>
    <w:p>
      <w:pPr>
        <w:pStyle w:val="Heading2"/>
      </w:pPr>
      <w:r>
        <w:rPr>
          <w:rFonts w:ascii="Calibri" w:hAnsi="Calibri"/>
          <w:b/>
          <w:color w:val="3B4259"/>
          <w:sz w:val="28"/>
        </w:rPr>
        <w:t>American Tower (AMT) / CoreSite — JP Morgan TMC Conference (May 19, 2026)</w:t>
      </w:r>
    </w:p>
    <w:p>
      <w:r>
        <w:rPr>
          <w:rFonts w:ascii="Calibri" w:hAnsi="Calibri"/>
          <w:b/>
          <w:color w:val="525866"/>
          <w:sz w:val="22"/>
        </w:rPr>
        <w:t xml:space="preserve">Relevance to DLR: </w:t>
      </w:r>
      <w:r>
        <w:rPr>
          <w:rFonts w:ascii="Calibri" w:hAnsi="Calibri"/>
          <w:color w:val="525866"/>
          <w:sz w:val="22"/>
        </w:rPr>
        <w:t>AMT’s CoreSite is a direct competitor to DLR in the enterprise colocation and interconnection segment. Management’s forward-looking commentary at the JP Morgan conference (post-DLR Q1 earnings) provides read-through on enterprise colo demand trends and AI workload adoption heading into Q2.</w:t>
      </w:r>
    </w:p>
    <w:p>
      <w:pPr>
        <w:pStyle w:val="ListBullet"/>
        <w:ind w:left="360" w:hanging="360"/>
      </w:pPr>
      <w:r>
        <w:rPr>
          <w:rFonts w:ascii="Calibri" w:hAnsi="Calibri"/>
          <w:b/>
          <w:color w:val="525866"/>
          <w:sz w:val="22"/>
        </w:rPr>
        <w:t xml:space="preserve">CoreSite delivering double-digit growth with record new business: </w:t>
      </w:r>
      <w:r>
        <w:rPr>
          <w:rFonts w:ascii="Calibri" w:hAnsi="Calibri"/>
          <w:color w:val="525866"/>
          <w:sz w:val="22"/>
        </w:rPr>
        <w:t>AMT management described CoreSite as “performing exceptionally well, better than originally underwrote,” with “a number of record-setting new business years in a row” and “double-digit growth.” The company is “getting to stabilized yields faster,” requiring continuous new capacity deployment. This validates DLR’s enterprise colo demand narrative and the sustainability of the 0–1 MW bookings run rate.</w:t>
      </w:r>
    </w:p>
    <w:p>
      <w:pPr>
        <w:pStyle w:val="ListBullet"/>
        <w:ind w:left="360" w:hanging="360"/>
      </w:pPr>
      <w:r>
        <w:rPr>
          <w:rFonts w:ascii="Calibri" w:hAnsi="Calibri"/>
          <w:b/>
          <w:color w:val="525866"/>
          <w:sz w:val="22"/>
        </w:rPr>
        <w:t xml:space="preserve">Private AI deployments arriving earlier than expected: </w:t>
      </w:r>
      <w:r>
        <w:rPr>
          <w:rFonts w:ascii="Calibri" w:hAnsi="Calibri"/>
          <w:color w:val="525866"/>
          <w:sz w:val="22"/>
        </w:rPr>
        <w:t>Management noted enterprise customers are now “looking for space, power, cooling, and GPUs to build their own smaller language models” within CoreSite facilities — a trend they “weren’t expecting until 2028.” This early emergence of private AI deployments is “additive to existing activity, not cannibalizing it.” This is a direct positive read-through for DLR’s 0–1 MW AI-oriented bookings, which reached a record 21% of enterprise signings in Q1.</w:t>
      </w:r>
    </w:p>
    <w:p>
      <w:pPr>
        <w:pStyle w:val="ListBullet"/>
        <w:ind w:left="360" w:hanging="360"/>
      </w:pPr>
      <w:r>
        <w:rPr>
          <w:rFonts w:ascii="Calibri" w:hAnsi="Calibri"/>
          <w:b/>
          <w:color w:val="525866"/>
          <w:sz w:val="22"/>
        </w:rPr>
        <w:t xml:space="preserve">AI workloads tipping into colocation facilities: </w:t>
      </w:r>
      <w:r>
        <w:rPr>
          <w:rFonts w:ascii="Calibri" w:hAnsi="Calibri"/>
          <w:color w:val="525866"/>
          <w:sz w:val="22"/>
        </w:rPr>
        <w:t>AMT described AI workloads “tipping out of large language model facilities and hyperscale facilities into facilities like CoreSite at an increasing pace.” This migration from hyperscale to colocation for inference workloads is precisely the demand dynamic DLR is targeting with its Private AI Exchange platform and inference-ready infrastructure.</w:t>
      </w:r>
    </w:p>
    <w:p>
      <w:pPr>
        <w:pStyle w:val="ListBullet"/>
        <w:ind w:left="360" w:hanging="360"/>
      </w:pPr>
      <w:r>
        <w:rPr>
          <w:rFonts w:ascii="Calibri" w:hAnsi="Calibri"/>
          <w:b/>
          <w:color w:val="525866"/>
          <w:sz w:val="22"/>
        </w:rPr>
        <w:t xml:space="preserve">Liquid cooling central to the business: </w:t>
      </w:r>
      <w:r>
        <w:rPr>
          <w:rFonts w:ascii="Calibri" w:hAnsi="Calibri"/>
          <w:color w:val="525866"/>
          <w:sz w:val="22"/>
        </w:rPr>
        <w:t>CoreSite facilities are “anchored with liquid cooling chillers” enabling deep GPU-dense deployments, with AMT “ahead of the curve in procuring power” and expanding land adjacent to campuses. Confirms the infrastructure investment thesis that DLR is executing on with its HD Colo and DRIL programs.</w:t>
      </w:r>
    </w:p>
    <w:p>
      <w:pPr>
        <w:pStyle w:val="ListBullet"/>
        <w:ind w:left="360" w:hanging="360"/>
      </w:pPr>
      <w:r>
        <w:rPr>
          <w:rFonts w:ascii="Calibri" w:hAnsi="Calibri"/>
          <w:b/>
          <w:color w:val="525866"/>
          <w:sz w:val="22"/>
        </w:rPr>
        <w:t xml:space="preserve">Capital reallocation toward data centers: </w:t>
      </w:r>
      <w:r>
        <w:rPr>
          <w:rFonts w:ascii="Calibri" w:hAnsi="Calibri"/>
          <w:color w:val="525866"/>
          <w:sz w:val="22"/>
        </w:rPr>
        <w:t>AMT has “reallocated investment capital appetite away from emerging markets and toward the U.S. and CoreSite,” with CapEx in CoreSite “gone up noticeably.” This signals that even tower REITs are increasing data center investment, validating the sector’s demand durability and competitive intensity.</w:t>
      </w:r>
    </w:p>
    <w:p>
      <w:r>
        <w:rPr>
          <w:rFonts w:ascii="Calibri" w:hAnsi="Calibri"/>
          <w:b/>
          <w:color w:val="525866"/>
          <w:sz w:val="22"/>
        </w:rPr>
        <w:t xml:space="preserve">Overall Read-Through Assessment: </w:t>
      </w:r>
      <w:r>
        <w:rPr>
          <w:rFonts w:ascii="Calibri" w:hAnsi="Calibri"/>
          <w:color w:val="525866"/>
          <w:sz w:val="22"/>
        </w:rPr>
        <w:t>Peer commentary is uniformly constructive for DLR’s Q2 setup. The combination of EQIX’s explicit Q2 double-digit growth confirmation, IRM’s hyperscale demand tracking above guidance, and AMT/CoreSite’s early private AI deployment surprise all point to a demand environment that remains robust and is, if anything, accelerating. The primary risk is not demand — it is DLR-specific: whether the Blackstone acquisition and associated equity issuance will dominate the narrative on the Q2 call, and whether management can credibly maintain the back-half acceleration story while absorbing a large capital transaction.</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consequential development since Q1 earnings is the June 29 Blackstone acquisition — a $7.8B gross value deal for 288 MW of fully-leased Northern Virginia hyperscale assets that is accretive to Core FFO in 2027–2028 but introduces $2.3B of near-term equity dilution and balance sheet questions that will dominate the Q2 call.</w:t>
      </w:r>
    </w:p>
    <w:p>
      <w:pPr>
        <w:pStyle w:val="ListBullet"/>
        <w:ind w:left="360" w:hanging="360"/>
      </w:pPr>
      <w:r>
        <w:rPr>
          <w:rFonts w:ascii="Calibri" w:hAnsi="Calibri"/>
          <w:b/>
          <w:color w:val="525866"/>
          <w:sz w:val="22"/>
        </w:rPr>
        <w:t xml:space="preserve">June 29, 2026 — Blackstone Data Center Acquisition ($7.8B gross value): </w:t>
      </w:r>
      <w:r>
        <w:rPr>
          <w:rFonts w:ascii="Calibri" w:hAnsi="Calibri"/>
          <w:color w:val="525866"/>
          <w:sz w:val="22"/>
        </w:rPr>
        <w:t xml:space="preserve">DLR agreed to acquire Blackstone’s blended 64% equity interest in three fully-leased 96 MW data centers in Northern Virginia (two in Manassas, one in Sterling) for $3.5B total consideration ($1.2B cash + $2.3B in DLR shares). Assets are 100% leased to three distinct investment-grade hyperscalers on 15-year leases with 3.6% annual escalators and a blended AA- credit rating. Two assets stabilize in H1 2027, one in H1 2028. CFO Matt Mercier confirmed the deal is “expected to be accretive to Core FFO per share in each of 2027 and 2028.” </w:t>
      </w:r>
      <w:r>
        <w:rPr>
          <w:rFonts w:ascii="Calibri" w:hAnsi="Calibri"/>
          <w:b/>
          <w:color w:val="525866"/>
          <w:sz w:val="22"/>
        </w:rPr>
        <w:t xml:space="preserve">Implication: </w:t>
      </w:r>
      <w:r>
        <w:rPr>
          <w:rFonts w:ascii="Calibri" w:hAnsi="Calibri"/>
          <w:color w:val="525866"/>
          <w:sz w:val="22"/>
        </w:rPr>
        <w:t>Near-term dilution from $2.3B equity issuance is the primary overhang; the deal is strategically sound (adds high-quality, long-duration hyperscale revenue in the world’s largest data center market) but the market will want clarity on 2026 guidance impact and leverage trajectory on the Q2 call.</w:t>
      </w:r>
    </w:p>
    <w:p>
      <w:pPr>
        <w:pStyle w:val="ListBullet"/>
        <w:ind w:left="360" w:hanging="360"/>
      </w:pPr>
      <w:r>
        <w:rPr>
          <w:rFonts w:ascii="Calibri" w:hAnsi="Calibri"/>
          <w:b/>
          <w:color w:val="525866"/>
          <w:sz w:val="22"/>
        </w:rPr>
        <w:t xml:space="preserve">July 1, 2026 — Blackstone Sells $2.28B in DLR Shares Post-Acquisition: </w:t>
      </w:r>
      <w:r>
        <w:rPr>
          <w:rFonts w:ascii="Calibri" w:hAnsi="Calibri"/>
          <w:color w:val="525866"/>
          <w:sz w:val="22"/>
        </w:rPr>
        <w:t xml:space="preserve">Following the close of the acquisition, Blackstone sold its $2.28B in newly received DLR shares via a secondary offering, creating significant near-term supply pressure on the stock. DLR filed an 8-K with underwriting agreement and articles supplementary. </w:t>
      </w:r>
      <w:r>
        <w:rPr>
          <w:rFonts w:ascii="Calibri" w:hAnsi="Calibri"/>
          <w:b/>
          <w:color w:val="525866"/>
          <w:sz w:val="22"/>
        </w:rPr>
        <w:t xml:space="preserve">Implication: </w:t>
      </w:r>
      <w:r>
        <w:rPr>
          <w:rFonts w:ascii="Calibri" w:hAnsi="Calibri"/>
          <w:color w:val="525866"/>
          <w:sz w:val="22"/>
        </w:rPr>
        <w:t>The secondary overhang has now cleared, removing a technical headwind; the stock’s partial recovery from ~$173 to ~$178 since early July may reflect this clearing.</w:t>
      </w:r>
    </w:p>
    <w:p>
      <w:pPr>
        <w:pStyle w:val="ListBullet"/>
        <w:ind w:left="360" w:hanging="360"/>
      </w:pPr>
      <w:r>
        <w:rPr>
          <w:rFonts w:ascii="Calibri" w:hAnsi="Calibri"/>
          <w:b/>
          <w:color w:val="525866"/>
          <w:sz w:val="22"/>
        </w:rPr>
        <w:t xml:space="preserve">June 22, 2026 — Columbia Capital Acquisition (~$485M) and Teraco Stake Increase: </w:t>
      </w:r>
      <w:r>
        <w:rPr>
          <w:rFonts w:ascii="Calibri" w:hAnsi="Calibri"/>
          <w:color w:val="525866"/>
          <w:sz w:val="22"/>
        </w:rPr>
        <w:t xml:space="preserve">DLR announced the acquisition of Columbia Capital, a digital infrastructure-focused investment firm with $9B+ in fund commitments, for ~$485M (principally 2.3M DLR shares at $188.15). The deal is intended to accelerate DLR’s Strategic Private Capital platform and provide expertise in adjacent digital infrastructure sectors. Simultaneously, DLR increased its stake in Teraco (South Africa). Collectively, these transactions involve 6.3M shares at a weighted average of $197.54. </w:t>
      </w:r>
      <w:r>
        <w:rPr>
          <w:rFonts w:ascii="Calibri" w:hAnsi="Calibri"/>
          <w:b/>
          <w:color w:val="525866"/>
          <w:sz w:val="22"/>
        </w:rPr>
        <w:t xml:space="preserve">Implication: </w:t>
      </w:r>
      <w:r>
        <w:rPr>
          <w:rFonts w:ascii="Calibri" w:hAnsi="Calibri"/>
          <w:color w:val="525866"/>
          <w:sz w:val="22"/>
        </w:rPr>
        <w:t>Strategically expands the private capital platform (now targeting $30B AUM) but adds to the equity issuance narrative; the Columbia Capital earnout and lockup structure will be a focus for analysts.</w:t>
      </w:r>
    </w:p>
    <w:p>
      <w:pPr>
        <w:pStyle w:val="ListBullet"/>
        <w:ind w:left="360" w:hanging="360"/>
      </w:pPr>
      <w:r>
        <w:rPr>
          <w:rFonts w:ascii="Calibri" w:hAnsi="Calibri"/>
          <w:b/>
          <w:color w:val="525866"/>
          <w:sz w:val="22"/>
        </w:rPr>
        <w:t xml:space="preserve">May 4, 2026 — $7.5B At-The-Market Equity Program Established: </w:t>
      </w:r>
      <w:r>
        <w:rPr>
          <w:rFonts w:ascii="Calibri" w:hAnsi="Calibri"/>
          <w:color w:val="525866"/>
          <w:sz w:val="22"/>
        </w:rPr>
        <w:t xml:space="preserve">DLR established a new $7.5B ATM equity program, providing significant capital raising flexibility to fund the development pipeline and acquisitions. </w:t>
      </w:r>
      <w:r>
        <w:rPr>
          <w:rFonts w:ascii="Calibri" w:hAnsi="Calibri"/>
          <w:b/>
          <w:color w:val="525866"/>
          <w:sz w:val="22"/>
        </w:rPr>
        <w:t xml:space="preserve">Implication: </w:t>
      </w:r>
      <w:r>
        <w:rPr>
          <w:rFonts w:ascii="Calibri" w:hAnsi="Calibri"/>
          <w:color w:val="525866"/>
          <w:sz w:val="22"/>
        </w:rPr>
        <w:t>Signals management’s intent to use equity as a funding tool alongside the private capital platform; the ATM provides optionality but also signals potential ongoing dilution.</w:t>
      </w:r>
    </w:p>
    <w:p>
      <w:pPr>
        <w:pStyle w:val="ListBullet"/>
        <w:ind w:left="360" w:hanging="360"/>
      </w:pPr>
      <w:r>
        <w:rPr>
          <w:rFonts w:ascii="Calibri" w:hAnsi="Calibri"/>
          <w:b/>
          <w:color w:val="525866"/>
          <w:sz w:val="22"/>
        </w:rPr>
        <w:t xml:space="preserve">June 3, 2026 — Nareit REITweek Conference (Management Commentary): </w:t>
      </w:r>
      <w:r>
        <w:rPr>
          <w:rFonts w:ascii="Calibri" w:hAnsi="Calibri"/>
          <w:color w:val="525866"/>
          <w:sz w:val="22"/>
        </w:rPr>
        <w:t xml:space="preserve">CEO Andy Power provided the most bullish post-Q1 commentary, stating full-year Core FFO growth is “feeling closer to double digits,” enterprise colo bookings are “approaching $100M a quarter,” and the development pipeline pre-leasing remains “north of 60%” at yields “north of 11.5%.” Management also highlighted the $1.8B revenue backlog providing multi-year visibility and characterized demand as “firing on all cylinders.” </w:t>
      </w:r>
      <w:r>
        <w:rPr>
          <w:rFonts w:ascii="Calibri" w:hAnsi="Calibri"/>
          <w:b/>
          <w:color w:val="525866"/>
          <w:sz w:val="22"/>
        </w:rPr>
        <w:t xml:space="preserve">Implication: </w:t>
      </w:r>
      <w:r>
        <w:rPr>
          <w:rFonts w:ascii="Calibri" w:hAnsi="Calibri"/>
          <w:color w:val="525866"/>
          <w:sz w:val="22"/>
        </w:rPr>
        <w:t>Sets a high bar for Q2 bookings and reinforces the back-half acceleration narrative; any shortfall in enterprise bookings vs. the $100M directional target will be closely scrutinized.</w:t>
      </w:r>
    </w:p>
    <w:p>
      <w:pPr>
        <w:pStyle w:val="ListBullet"/>
        <w:ind w:left="360" w:hanging="360"/>
      </w:pPr>
      <w:r>
        <w:rPr>
          <w:rFonts w:ascii="Calibri" w:hAnsi="Calibri"/>
          <w:b/>
          <w:color w:val="525866"/>
          <w:sz w:val="22"/>
        </w:rPr>
        <w:t xml:space="preserve">June 30, 2026 — Q2 2026 Earnings Scheduled: </w:t>
      </w:r>
      <w:r>
        <w:rPr>
          <w:rFonts w:ascii="Calibri" w:hAnsi="Calibri"/>
          <w:color w:val="525866"/>
          <w:sz w:val="22"/>
        </w:rPr>
        <w:t>DLR officially confirmed Q2 2026 results will be released after market close on July 23, 2026, with a conference call at 5:00 PM ET / 4:00 PM CT.</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from executives or directors in the period — all activity consists of routine annual equity grants (code A) to the board and a single small tax-withholding share surrender (code F) by the Chief Accounting Officer; the absence of any open-market selling by senior management ahead of a large acquisition and equity issuance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Jamieson VeraLinn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153 LTI Units</w:t>
            </w:r>
          </w:p>
        </w:tc>
        <w:tc>
          <w:tcPr>
            <w:tcW w:type="dxa" w:w="1440"/>
          </w:tcPr>
          <w:p>
            <w:r>
              <w:rPr>
                <w:rFonts w:ascii="Calibri" w:hAnsi="Calibri"/>
                <w:sz w:val="22"/>
              </w:rPr>
              <w:t>Jun. 30, 2026</w:t>
            </w:r>
          </w:p>
        </w:tc>
        <w:tc>
          <w:tcPr>
            <w:tcW w:type="dxa" w:w="1440"/>
          </w:tcPr>
          <w:p>
            <w:r>
              <w:rPr>
                <w:rFonts w:ascii="Calibri" w:hAnsi="Calibri"/>
                <w:sz w:val="22"/>
              </w:rPr>
              <w:t>Routine annual board equity grant; non-cash, not a market purchase.</w:t>
            </w:r>
          </w:p>
        </w:tc>
      </w:tr>
      <w:tr>
        <w:tc>
          <w:tcPr>
            <w:tcW w:type="dxa" w:w="1440"/>
          </w:tcPr>
          <w:p>
            <w:r>
              <w:rPr>
                <w:rFonts w:ascii="Calibri" w:hAnsi="Calibri"/>
                <w:sz w:val="22"/>
              </w:rPr>
              <w:t>Swanezy Susan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153 LTI Units</w:t>
            </w:r>
          </w:p>
        </w:tc>
        <w:tc>
          <w:tcPr>
            <w:tcW w:type="dxa" w:w="1440"/>
          </w:tcPr>
          <w:p>
            <w:r>
              <w:rPr>
                <w:rFonts w:ascii="Calibri" w:hAnsi="Calibri"/>
                <w:sz w:val="22"/>
              </w:rPr>
              <w:t>Jun. 30, 2026</w:t>
            </w:r>
          </w:p>
        </w:tc>
        <w:tc>
          <w:tcPr>
            <w:tcW w:type="dxa" w:w="1440"/>
          </w:tcPr>
          <w:p>
            <w:r>
              <w:rPr>
                <w:rFonts w:ascii="Calibri" w:hAnsi="Calibri"/>
                <w:sz w:val="22"/>
              </w:rPr>
              <w:t>Routine annual board equity grant; non-cash, not a market purchase.</w:t>
            </w:r>
          </w:p>
        </w:tc>
      </w:tr>
      <w:tr>
        <w:tc>
          <w:tcPr>
            <w:tcW w:type="dxa" w:w="1440"/>
          </w:tcPr>
          <w:p>
            <w:r>
              <w:rPr>
                <w:rFonts w:ascii="Calibri" w:hAnsi="Calibri"/>
                <w:sz w:val="22"/>
              </w:rPr>
              <w:t>Kornegay Christine Beseda</w:t>
            </w:r>
          </w:p>
        </w:tc>
        <w:tc>
          <w:tcPr>
            <w:tcW w:type="dxa" w:w="1440"/>
          </w:tcPr>
          <w:p>
            <w:r>
              <w:rPr>
                <w:rFonts w:ascii="Calibri" w:hAnsi="Calibri"/>
                <w:sz w:val="22"/>
              </w:rPr>
              <w:t>Chief Accounting Officer</w:t>
            </w:r>
          </w:p>
        </w:tc>
        <w:tc>
          <w:tcPr>
            <w:tcW w:type="dxa" w:w="1440"/>
          </w:tcPr>
          <w:p>
            <w:r>
              <w:rPr>
                <w:rFonts w:ascii="Calibri" w:hAnsi="Calibri"/>
                <w:sz w:val="22"/>
              </w:rPr>
              <w:t>Tax Withholding Surrender (Code F)</w:t>
            </w:r>
          </w:p>
        </w:tc>
        <w:tc>
          <w:tcPr>
            <w:tcW w:type="dxa" w:w="1440"/>
          </w:tcPr>
          <w:p>
            <w:r>
              <w:rPr>
                <w:rFonts w:ascii="Calibri" w:hAnsi="Calibri"/>
                <w:sz w:val="22"/>
              </w:rPr>
              <w:t>53 shares</w:t>
            </w:r>
          </w:p>
        </w:tc>
        <w:tc>
          <w:tcPr>
            <w:tcW w:type="dxa" w:w="1440"/>
          </w:tcPr>
          <w:p>
            <w:r>
              <w:rPr>
                <w:rFonts w:ascii="Calibri" w:hAnsi="Calibri"/>
                <w:sz w:val="22"/>
              </w:rPr>
              <w:t>Jul. 1, 2026</w:t>
            </w:r>
          </w:p>
        </w:tc>
        <w:tc>
          <w:tcPr>
            <w:tcW w:type="dxa" w:w="1440"/>
          </w:tcPr>
          <w:p>
            <w:r>
              <w:rPr>
                <w:rFonts w:ascii="Calibri" w:hAnsi="Calibri"/>
                <w:sz w:val="22"/>
              </w:rPr>
              <w:t>Shares withheld to cover tax obligation on vesting; obligation-driven, not discretionary.</w:t>
            </w:r>
          </w:p>
        </w:tc>
      </w:tr>
      <w:tr>
        <w:tc>
          <w:tcPr>
            <w:tcW w:type="dxa" w:w="1440"/>
          </w:tcPr>
          <w:p>
            <w:r>
              <w:rPr>
                <w:rFonts w:ascii="Calibri" w:hAnsi="Calibri"/>
                <w:sz w:val="22"/>
              </w:rPr>
              <w:t>Bolze Stephen R.</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board equity grant cycle; non-cash.</w:t>
            </w:r>
          </w:p>
        </w:tc>
      </w:tr>
      <w:tr>
        <w:tc>
          <w:tcPr>
            <w:tcW w:type="dxa" w:w="1440"/>
          </w:tcPr>
          <w:p>
            <w:r>
              <w:rPr>
                <w:rFonts w:ascii="Calibri" w:hAnsi="Calibri"/>
                <w:sz w:val="22"/>
              </w:rPr>
              <w:t>Jamieson VeraLinn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board equity grant cycle; non-cash.</w:t>
            </w:r>
          </w:p>
        </w:tc>
      </w:tr>
      <w:tr>
        <w:tc>
          <w:tcPr>
            <w:tcW w:type="dxa" w:w="1440"/>
          </w:tcPr>
          <w:p>
            <w:r>
              <w:rPr>
                <w:rFonts w:ascii="Calibri" w:hAnsi="Calibri"/>
                <w:sz w:val="22"/>
              </w:rPr>
              <w:t>Kennedy Kevin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board equity grant cycle; non-cash.</w:t>
            </w:r>
          </w:p>
        </w:tc>
      </w:tr>
      <w:tr>
        <w:tc>
          <w:tcPr>
            <w:tcW w:type="dxa" w:w="1440"/>
          </w:tcPr>
          <w:p>
            <w:r>
              <w:rPr>
                <w:rFonts w:ascii="Calibri" w:hAnsi="Calibri"/>
                <w:sz w:val="22"/>
              </w:rPr>
              <w:t>LaPerch William G.</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board equity grant cycle; non-cash.</w:t>
            </w:r>
          </w:p>
        </w:tc>
      </w:tr>
      <w:tr>
        <w:tc>
          <w:tcPr>
            <w:tcW w:type="dxa" w:w="1440"/>
          </w:tcPr>
          <w:p>
            <w:r>
              <w:rPr>
                <w:rFonts w:ascii="Calibri" w:hAnsi="Calibri"/>
                <w:sz w:val="22"/>
              </w:rPr>
              <w:t>Mandeville Jean F H P</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1,289 shares</w:t>
            </w:r>
          </w:p>
        </w:tc>
        <w:tc>
          <w:tcPr>
            <w:tcW w:type="dxa" w:w="1440"/>
          </w:tcPr>
          <w:p>
            <w:r>
              <w:rPr>
                <w:rFonts w:ascii="Calibri" w:hAnsi="Calibri"/>
                <w:sz w:val="22"/>
              </w:rPr>
              <w:t>May 29, 2026</w:t>
            </w:r>
          </w:p>
        </w:tc>
        <w:tc>
          <w:tcPr>
            <w:tcW w:type="dxa" w:w="1440"/>
          </w:tcPr>
          <w:p>
            <w:r>
              <w:rPr>
                <w:rFonts w:ascii="Calibri" w:hAnsi="Calibri"/>
                <w:sz w:val="22"/>
              </w:rPr>
              <w:t>Annual board equity grant cycle; non-cash.</w:t>
            </w:r>
          </w:p>
        </w:tc>
      </w:tr>
      <w:tr>
        <w:tc>
          <w:tcPr>
            <w:tcW w:type="dxa" w:w="1440"/>
          </w:tcPr>
          <w:p>
            <w:r>
              <w:rPr>
                <w:rFonts w:ascii="Calibri" w:hAnsi="Calibri"/>
                <w:sz w:val="22"/>
              </w:rPr>
              <w:t>Mohebbi Afshin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board equity grant cycle; non-cash.</w:t>
            </w:r>
          </w:p>
        </w:tc>
      </w:tr>
      <w:tr>
        <w:tc>
          <w:tcPr>
            <w:tcW w:type="dxa" w:w="1440"/>
          </w:tcPr>
          <w:p>
            <w:r>
              <w:rPr>
                <w:rFonts w:ascii="Calibri" w:hAnsi="Calibri"/>
                <w:sz w:val="22"/>
              </w:rPr>
              <w:t>Patterson Mark R.</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board equity grant cycle; non-cash.</w:t>
            </w:r>
          </w:p>
        </w:tc>
      </w:tr>
      <w:tr>
        <w:tc>
          <w:tcPr>
            <w:tcW w:type="dxa" w:w="1440"/>
          </w:tcPr>
          <w:p>
            <w:r>
              <w:rPr>
                <w:rFonts w:ascii="Calibri" w:hAnsi="Calibri"/>
                <w:sz w:val="22"/>
              </w:rPr>
              <w:t>Preusse Mary Hogan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1,815 LTI Units</w:t>
            </w:r>
          </w:p>
        </w:tc>
        <w:tc>
          <w:tcPr>
            <w:tcW w:type="dxa" w:w="1440"/>
          </w:tcPr>
          <w:p>
            <w:r>
              <w:rPr>
                <w:rFonts w:ascii="Calibri" w:hAnsi="Calibri"/>
                <w:sz w:val="22"/>
              </w:rPr>
              <w:t>May 29, 2026</w:t>
            </w:r>
          </w:p>
        </w:tc>
        <w:tc>
          <w:tcPr>
            <w:tcW w:type="dxa" w:w="1440"/>
          </w:tcPr>
          <w:p>
            <w:r>
              <w:rPr>
                <w:rFonts w:ascii="Calibri" w:hAnsi="Calibri"/>
                <w:sz w:val="22"/>
              </w:rPr>
              <w:t>Slightly larger grant; likely reflects committee chair role. Non-cash.</w:t>
            </w:r>
          </w:p>
        </w:tc>
      </w:tr>
      <w:tr>
        <w:tc>
          <w:tcPr>
            <w:tcW w:type="dxa" w:w="1440"/>
          </w:tcPr>
          <w:p>
            <w:r>
              <w:rPr>
                <w:rFonts w:ascii="Calibri" w:hAnsi="Calibri"/>
                <w:sz w:val="22"/>
              </w:rPr>
              <w:t>Swanezy Susan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board equity grant cycle; non-cash.</w:t>
            </w:r>
          </w:p>
        </w:tc>
      </w:tr>
      <w:tr>
        <w:tc>
          <w:tcPr>
            <w:tcW w:type="dxa" w:w="1440"/>
          </w:tcPr>
          <w:p>
            <w:r>
              <w:rPr>
                <w:rFonts w:ascii="Calibri" w:hAnsi="Calibri"/>
                <w:sz w:val="22"/>
              </w:rPr>
              <w:t>Mandeville Jean F H P</w:t>
            </w:r>
          </w:p>
        </w:tc>
        <w:tc>
          <w:tcPr>
            <w:tcW w:type="dxa" w:w="1440"/>
          </w:tcPr>
          <w:p>
            <w:r>
              <w:rPr>
                <w:rFonts w:ascii="Calibri" w:hAnsi="Calibri"/>
                <w:sz w:val="22"/>
              </w:rPr>
              <w:t>Director</w:t>
            </w:r>
          </w:p>
        </w:tc>
        <w:tc>
          <w:tcPr>
            <w:tcW w:type="dxa" w:w="1440"/>
          </w:tcPr>
          <w:p>
            <w:r>
              <w:rPr>
                <w:rFonts w:ascii="Calibri" w:hAnsi="Calibri"/>
                <w:sz w:val="22"/>
              </w:rPr>
              <w:t>Tax Withholding Surrender (Code F)</w:t>
            </w:r>
          </w:p>
        </w:tc>
        <w:tc>
          <w:tcPr>
            <w:tcW w:type="dxa" w:w="1440"/>
          </w:tcPr>
          <w:p>
            <w:r>
              <w:rPr>
                <w:rFonts w:ascii="Calibri" w:hAnsi="Calibri"/>
                <w:sz w:val="22"/>
              </w:rPr>
              <w:t>284 shares</w:t>
            </w:r>
          </w:p>
        </w:tc>
        <w:tc>
          <w:tcPr>
            <w:tcW w:type="dxa" w:w="1440"/>
          </w:tcPr>
          <w:p>
            <w:r>
              <w:rPr>
                <w:rFonts w:ascii="Calibri" w:hAnsi="Calibri"/>
                <w:sz w:val="22"/>
              </w:rPr>
              <w:t>May 28, 2026</w:t>
            </w:r>
          </w:p>
        </w:tc>
        <w:tc>
          <w:tcPr>
            <w:tcW w:type="dxa" w:w="1440"/>
          </w:tcPr>
          <w:p>
            <w:r>
              <w:rPr>
                <w:rFonts w:ascii="Calibri" w:hAnsi="Calibri"/>
                <w:sz w:val="22"/>
              </w:rPr>
              <w:t>Shares withheld to cover tax obligation on vesting; obligation-driven, not discretionary.</w:t>
            </w:r>
          </w:p>
        </w:tc>
      </w:tr>
    </w:tbl>
    <w:p>
      <w:r>
        <w:rPr>
          <w:rFonts w:ascii="Calibri" w:hAnsi="Calibri"/>
          <w:i/>
          <w:color w:val="525866"/>
          <w:sz w:val="22"/>
        </w:rPr>
        <w:t xml:space="preserve">Source: SEC Form 4 filings via Insider Transaction Data. Open-market buys (Code P) and open-market sells (Code S) only: </w:t>
      </w:r>
      <w:r>
        <w:rPr>
          <w:rFonts w:ascii="Calibri" w:hAnsi="Calibri"/>
          <w:b/>
          <w:i/>
          <w:color w:val="525866"/>
          <w:sz w:val="22"/>
        </w:rPr>
        <w:t>none filed in the period.</w:t>
      </w:r>
      <w:r>
        <w:rPr>
          <w:rFonts w:ascii="Calibri" w:hAnsi="Calibri"/>
          <w:i/>
          <w:color w:val="525866"/>
          <w:sz w:val="22"/>
        </w:rPr>
        <w:t xml:space="preserve"> All transactions above are equity grants (Code A — non-cash awards) or tax-withholding surrenders (Code F — obligation-driven). No 10b5-1 plan initiations or discretionary sales were filed by any executive or director since the Q1 2026 earnings date.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