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Digital Realty Trust (DLR)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Digital Realty Trust, Inc.</w:t>
            </w:r>
          </w:p>
        </w:tc>
      </w:tr>
      <w:tr>
        <w:tc>
          <w:tcPr>
            <w:tcW w:type="dxa" w:w="4320"/>
          </w:tcPr>
          <w:p>
            <w:r>
              <w:rPr>
                <w:rFonts w:ascii="Calibri" w:hAnsi="Calibri"/>
                <w:b/>
                <w:sz w:val="22"/>
              </w:rPr>
              <w:t>Ticker</w:t>
            </w:r>
          </w:p>
        </w:tc>
        <w:tc>
          <w:tcPr>
            <w:tcW w:type="dxa" w:w="4320"/>
          </w:tcPr>
          <w:p>
            <w:r>
              <w:rPr>
                <w:rFonts w:ascii="Calibri" w:hAnsi="Calibri"/>
                <w:sz w:val="22"/>
              </w:rPr>
              <w:t>DLR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(after market close)</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Primary Valuation KPI</w:t>
            </w:r>
          </w:p>
        </w:tc>
        <w:tc>
          <w:tcPr>
            <w:tcW w:type="dxa" w:w="4320"/>
          </w:tcPr>
          <w:p>
            <w:r>
              <w:rPr>
                <w:rFonts w:ascii="Calibri" w:hAnsi="Calibri"/>
                <w:sz w:val="22"/>
              </w:rPr>
              <w:t>Core FFO per Share (Diluted) — NTM EV/EBITDA 21.45x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after the Q1 guidance raise, the enterprise colo engine is approaching a nine-figure quarterly run rate, and management signaled at Nareit in June that full-year Core FFO growth is trending toward the high end of raised guidance (feeling closer to double-digit). The single biggest swing factor is whether Q2 bookings — particularly in the 0-1 MW plus interconnection category — can sustain the record pace set in Q1, or whether the Charlotte-driven hyperscale spike creates a tough sequential comparison.</w:t>
      </w:r>
    </w:p>
    <w:p>
      <w:r>
        <w:rPr>
          <w:rFonts w:ascii="Calibri" w:hAnsi="Calibri"/>
          <w:color w:val="525866"/>
          <w:sz w:val="22"/>
        </w:rPr>
        <w:t xml:space="preserve">Heading into Q2 2026 earnings, the bar for DLR is achievable but not trivial: consensus Core FFO per share of $1.98 implies roughly 6% year-over-year growth, well below the 15% delivered in Q1, and management's raised full-year guidance midpoint of $8.05 implies a back-half acceleration that the Q2 print needs to validate. </w:t>
      </w:r>
      <w:r>
        <w:rPr>
          <w:rFonts w:ascii="Calibri" w:hAnsi="Calibri"/>
          <w:b/>
          <w:color w:val="525866"/>
          <w:sz w:val="22"/>
        </w:rPr>
        <w:t>Management's tone has been unambiguously constructive</w:t>
      </w:r>
      <w:r>
        <w:rPr>
          <w:rFonts w:ascii="Calibri" w:hAnsi="Calibri"/>
          <w:color w:val="525866"/>
          <w:sz w:val="22"/>
        </w:rPr>
        <w:t xml:space="preserve"> — at the June 3 Nareit REITweek conference, CEO Andrew Power characterized the enterprise colo business as approaching $100 million per quarter and trending toward $400 million annually, with the customer base near 6,000 logos and consistent new logo additions; he also described full-year Core FFO growth as feeling closer to double digits, above the 9% midpoint of raised guidance. Estimate revisions have moved sharply higher since the Q1 print — the 2Q 2026 Core FFO consensus has risen from $1.98 to $1.98 (stable post-raise), while the FY 2026 consensus of $8.04 sits just below the $8.05 guidance midpoint, suggesting the Street has largely priced in the raise but not yet a second raise. The stock has given back roughly 11% from its post-Q1 high near $200, underperforming the S&amp;P 500 over the trailing three months, driven primarily by multiple compression (EV/EBITDA contracted ~9% over 3 months) rather than estimate cuts — a setup that leaves room for re-rating on a clean print. The key wildcard is the magnitude and composition of Q2 bookings: a second consecutive record in 0-1 MW signings alongside any incremental hyperscale announcement would likely catalyze another guidance raise and multiple re-expansion, while a bookings miss — particularly if the Charlotte lease creates a tough sequential comparison in the &gt;1 MW category — could pressure the stock despite solid Core FFO delivery.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Core FFO per share ($1.98 vs. $1.87 a year ago, +6% YoY), but the bigger swing factor is 0-1 MW bookings — the enterprise colo engine that management has guided toward a $400M annual run rate. A third consecutive quarterly record in that category would be the clearest signal that the growth algorithm is compounding.</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(raised Q1)</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 Diluted ($)</w:t>
            </w:r>
          </w:p>
        </w:tc>
        <w:tc>
          <w:tcPr>
            <w:tcW w:type="dxa" w:w="1234"/>
          </w:tcPr>
          <w:p>
            <w:r>
              <w:rPr>
                <w:rFonts w:ascii="Calibri" w:hAnsi="Calibri"/>
                <w:sz w:val="22"/>
              </w:rPr>
              <w:t>$2.04</w:t>
            </w:r>
          </w:p>
        </w:tc>
        <w:tc>
          <w:tcPr>
            <w:tcW w:type="dxa" w:w="1234"/>
          </w:tcPr>
          <w:p>
            <w:r>
              <w:rPr>
                <w:rFonts w:ascii="Calibri" w:hAnsi="Calibri"/>
                <w:sz w:val="22"/>
              </w:rPr>
              <w:t>$1.87</w:t>
            </w:r>
          </w:p>
        </w:tc>
        <w:tc>
          <w:tcPr>
            <w:tcW w:type="dxa" w:w="1234"/>
          </w:tcPr>
          <w:p>
            <w:r>
              <w:rPr>
                <w:rFonts w:ascii="Calibri" w:hAnsi="Calibri"/>
                <w:sz w:val="22"/>
              </w:rPr>
              <w:t>$1.98</w:t>
            </w:r>
          </w:p>
        </w:tc>
        <w:tc>
          <w:tcPr>
            <w:tcW w:type="dxa" w:w="1234"/>
          </w:tcPr>
          <w:p>
            <w:r>
              <w:rPr>
                <w:rFonts w:ascii="Calibri" w:hAnsi="Calibri"/>
                <w:sz w:val="22"/>
              </w:rPr>
              <w:t>+5.9% YoY</w:t>
            </w:r>
          </w:p>
        </w:tc>
        <w:tc>
          <w:tcPr>
            <w:tcW w:type="dxa" w:w="1234"/>
          </w:tcPr>
          <w:p>
            <w:r>
              <w:rPr>
                <w:rFonts w:ascii="Calibri" w:hAnsi="Calibri"/>
                <w:sz w:val="22"/>
              </w:rPr>
              <w:t>$8.00–$8.10 (mid $8.05)</w:t>
            </w:r>
          </w:p>
        </w:tc>
        <w:tc>
          <w:tcPr>
            <w:tcW w:type="dxa" w:w="1234"/>
          </w:tcPr>
          <w:p>
            <w:r>
              <w:rPr>
                <w:rFonts w:ascii="Calibri" w:hAnsi="Calibri"/>
                <w:sz w:val="22"/>
              </w:rPr>
              <w:t>FY consensus $8.04 ≈ −0.1% vs. midpoint</w:t>
            </w:r>
          </w:p>
        </w:tc>
      </w:tr>
      <w:tr>
        <w:tc>
          <w:tcPr>
            <w:tcW w:type="dxa" w:w="1234"/>
          </w:tcPr>
          <w:p>
            <w:r>
              <w:rPr>
                <w:rFonts w:ascii="Calibri" w:hAnsi="Calibri"/>
                <w:sz w:val="22"/>
              </w:rPr>
              <w:t>Total Revenue ($M)</w:t>
            </w:r>
          </w:p>
        </w:tc>
        <w:tc>
          <w:tcPr>
            <w:tcW w:type="dxa" w:w="1234"/>
          </w:tcPr>
          <w:p>
            <w:r>
              <w:rPr>
                <w:rFonts w:ascii="Calibri" w:hAnsi="Calibri"/>
                <w:sz w:val="22"/>
              </w:rPr>
              <w:t>$1,635</w:t>
            </w:r>
          </w:p>
        </w:tc>
        <w:tc>
          <w:tcPr>
            <w:tcW w:type="dxa" w:w="1234"/>
          </w:tcPr>
          <w:p>
            <w:r>
              <w:rPr>
                <w:rFonts w:ascii="Calibri" w:hAnsi="Calibri"/>
                <w:sz w:val="22"/>
              </w:rPr>
              <w:t>$1,493</w:t>
            </w:r>
          </w:p>
        </w:tc>
        <w:tc>
          <w:tcPr>
            <w:tcW w:type="dxa" w:w="1234"/>
          </w:tcPr>
          <w:p>
            <w:r>
              <w:rPr>
                <w:rFonts w:ascii="Calibri" w:hAnsi="Calibri"/>
                <w:sz w:val="22"/>
              </w:rPr>
              <w:t>$1,655</w:t>
            </w:r>
          </w:p>
        </w:tc>
        <w:tc>
          <w:tcPr>
            <w:tcW w:type="dxa" w:w="1234"/>
          </w:tcPr>
          <w:p>
            <w:r>
              <w:rPr>
                <w:rFonts w:ascii="Calibri" w:hAnsi="Calibri"/>
                <w:sz w:val="22"/>
              </w:rPr>
              <w:t>+10.9% YoY</w:t>
            </w:r>
          </w:p>
        </w:tc>
        <w:tc>
          <w:tcPr>
            <w:tcW w:type="dxa" w:w="1234"/>
          </w:tcPr>
          <w:p>
            <w:r>
              <w:rPr>
                <w:rFonts w:ascii="Calibri" w:hAnsi="Calibri"/>
                <w:sz w:val="22"/>
              </w:rPr>
              <w:t>FY $6.75B consensus</w:t>
            </w:r>
          </w:p>
        </w:tc>
        <w:tc>
          <w:tcPr>
            <w:tcW w:type="dxa" w:w="1234"/>
          </w:tcPr>
          <w:p>
            <w:r>
              <w:rPr>
                <w:rFonts w:ascii="Calibri" w:hAnsi="Calibri"/>
                <w:sz w:val="22"/>
              </w:rPr>
              <w:t>N/A — no quarterly revenue guidance provided</w:t>
            </w:r>
          </w:p>
        </w:tc>
      </w:tr>
      <w:tr>
        <w:tc>
          <w:tcPr>
            <w:tcW w:type="dxa" w:w="1234"/>
          </w:tcPr>
          <w:p>
            <w:r>
              <w:rPr>
                <w:rFonts w:ascii="Calibri" w:hAnsi="Calibri"/>
                <w:sz w:val="22"/>
              </w:rPr>
              <w:t>Cash NOI ($M)</w:t>
            </w:r>
          </w:p>
        </w:tc>
        <w:tc>
          <w:tcPr>
            <w:tcW w:type="dxa" w:w="1234"/>
          </w:tcPr>
          <w:p>
            <w:r>
              <w:rPr>
                <w:rFonts w:ascii="Calibri" w:hAnsi="Calibri"/>
                <w:sz w:val="22"/>
              </w:rPr>
              <w:t>$878</w:t>
            </w:r>
          </w:p>
        </w:tc>
        <w:tc>
          <w:tcPr>
            <w:tcW w:type="dxa" w:w="1234"/>
          </w:tcPr>
          <w:p>
            <w:r>
              <w:rPr>
                <w:rFonts w:ascii="Calibri" w:hAnsi="Calibri"/>
                <w:sz w:val="22"/>
              </w:rPr>
              <w:t>$771</w:t>
            </w:r>
          </w:p>
        </w:tc>
        <w:tc>
          <w:tcPr>
            <w:tcW w:type="dxa" w:w="1234"/>
          </w:tcPr>
          <w:p>
            <w:r>
              <w:rPr>
                <w:rFonts w:ascii="Calibri" w:hAnsi="Calibri"/>
                <w:sz w:val="22"/>
              </w:rPr>
              <w:t>$884</w:t>
            </w:r>
          </w:p>
        </w:tc>
        <w:tc>
          <w:tcPr>
            <w:tcW w:type="dxa" w:w="1234"/>
          </w:tcPr>
          <w:p>
            <w:r>
              <w:rPr>
                <w:rFonts w:ascii="Calibri" w:hAnsi="Calibri"/>
                <w:sz w:val="22"/>
              </w:rPr>
              <w:t>+14.6% YoY</w:t>
            </w:r>
          </w:p>
        </w:tc>
        <w:tc>
          <w:tcPr>
            <w:tcW w:type="dxa" w:w="1234"/>
          </w:tcPr>
          <w:p>
            <w:r>
              <w:rPr>
                <w:rFonts w:ascii="Calibri" w:hAnsi="Calibri"/>
                <w:sz w:val="22"/>
              </w:rPr>
              <w:t>Same-capital cash NOI growth 4%–5% (constant currency)</w:t>
            </w:r>
          </w:p>
        </w:tc>
        <w:tc>
          <w:tcPr>
            <w:tcW w:type="dxa" w:w="1234"/>
          </w:tcPr>
          <w:p>
            <w:r>
              <w:rPr>
                <w:rFonts w:ascii="Calibri" w:hAnsi="Calibri"/>
                <w:sz w:val="22"/>
              </w:rPr>
              <w:t>N/A — no quarterly Cash NOI guidance</w:t>
            </w:r>
          </w:p>
        </w:tc>
      </w:tr>
      <w:tr>
        <w:tc>
          <w:tcPr>
            <w:tcW w:type="dxa" w:w="1234"/>
          </w:tcPr>
          <w:p>
            <w:r>
              <w:rPr>
                <w:rFonts w:ascii="Calibri" w:hAnsi="Calibri"/>
                <w:sz w:val="22"/>
              </w:rPr>
              <w:t>Leasing 0–1 MW ($M)</w:t>
            </w:r>
          </w:p>
        </w:tc>
        <w:tc>
          <w:tcPr>
            <w:tcW w:type="dxa" w:w="1234"/>
          </w:tcPr>
          <w:p>
            <w:r>
              <w:rPr>
                <w:rFonts w:ascii="Calibri" w:hAnsi="Calibri"/>
                <w:sz w:val="22"/>
              </w:rPr>
              <w:t>$79</w:t>
            </w:r>
          </w:p>
        </w:tc>
        <w:tc>
          <w:tcPr>
            <w:tcW w:type="dxa" w:w="1234"/>
          </w:tcPr>
          <w:p>
            <w:r>
              <w:rPr>
                <w:rFonts w:ascii="Calibri" w:hAnsi="Calibri"/>
                <w:sz w:val="22"/>
              </w:rPr>
              <w:t>$73</w:t>
            </w:r>
          </w:p>
        </w:tc>
        <w:tc>
          <w:tcPr>
            <w:tcW w:type="dxa" w:w="1234"/>
          </w:tcPr>
          <w:p>
            <w:r>
              <w:rPr>
                <w:rFonts w:ascii="Calibri" w:hAnsi="Calibri"/>
                <w:sz w:val="22"/>
              </w:rPr>
              <w:t>$74</w:t>
            </w:r>
          </w:p>
        </w:tc>
        <w:tc>
          <w:tcPr>
            <w:tcW w:type="dxa" w:w="1234"/>
          </w:tcPr>
          <w:p>
            <w:r>
              <w:rPr>
                <w:rFonts w:ascii="Calibri" w:hAnsi="Calibri"/>
                <w:sz w:val="22"/>
              </w:rPr>
              <w:t>+1.4% YoY</w:t>
            </w:r>
          </w:p>
        </w:tc>
        <w:tc>
          <w:tcPr>
            <w:tcW w:type="dxa" w:w="1234"/>
          </w:tcPr>
          <w:p>
            <w:r>
              <w:rPr>
                <w:rFonts w:ascii="Calibri" w:hAnsi="Calibri"/>
                <w:sz w:val="22"/>
              </w:rPr>
              <w:t>Trending toward ~$400M annual run rate (mgmt. Nareit commentary)</w:t>
            </w:r>
          </w:p>
        </w:tc>
        <w:tc>
          <w:tcPr>
            <w:tcW w:type="dxa" w:w="1234"/>
          </w:tcPr>
          <w:p>
            <w:r>
              <w:rPr>
                <w:rFonts w:ascii="Calibri" w:hAnsi="Calibri"/>
                <w:sz w:val="22"/>
              </w:rPr>
              <w:t>Consensus below mgmt. trajectory; upside if record pace continues</w:t>
            </w:r>
          </w:p>
        </w:tc>
      </w:tr>
      <w:tr>
        <w:tc>
          <w:tcPr>
            <w:tcW w:type="dxa" w:w="1234"/>
          </w:tcPr>
          <w:p>
            <w:r>
              <w:rPr>
                <w:rFonts w:ascii="Calibri" w:hAnsi="Calibri"/>
                <w:sz w:val="22"/>
              </w:rPr>
              <w:t>Leasing &gt;1 MW ($M)</w:t>
            </w:r>
          </w:p>
        </w:tc>
        <w:tc>
          <w:tcPr>
            <w:tcW w:type="dxa" w:w="1234"/>
          </w:tcPr>
          <w:p>
            <w:r>
              <w:rPr>
                <w:rFonts w:ascii="Calibri" w:hAnsi="Calibri"/>
                <w:sz w:val="22"/>
              </w:rPr>
              <w:t>$324</w:t>
            </w:r>
          </w:p>
        </w:tc>
        <w:tc>
          <w:tcPr>
            <w:tcW w:type="dxa" w:w="1234"/>
          </w:tcPr>
          <w:p>
            <w:r>
              <w:rPr>
                <w:rFonts w:ascii="Calibri" w:hAnsi="Calibri"/>
                <w:sz w:val="22"/>
              </w:rPr>
              <w:t>$45</w:t>
            </w:r>
          </w:p>
        </w:tc>
        <w:tc>
          <w:tcPr>
            <w:tcW w:type="dxa" w:w="1234"/>
          </w:tcPr>
          <w:p>
            <w:r>
              <w:rPr>
                <w:rFonts w:ascii="Calibri" w:hAnsi="Calibri"/>
                <w:sz w:val="22"/>
              </w:rPr>
              <w:t>$83</w:t>
            </w:r>
          </w:p>
        </w:tc>
        <w:tc>
          <w:tcPr>
            <w:tcW w:type="dxa" w:w="1234"/>
          </w:tcPr>
          <w:p>
            <w:r>
              <w:rPr>
                <w:rFonts w:ascii="Calibri" w:hAnsi="Calibri"/>
                <w:sz w:val="22"/>
              </w:rPr>
              <w:t>+84% YoY (vs. depressed Q2 2025)</w:t>
            </w:r>
          </w:p>
        </w:tc>
        <w:tc>
          <w:tcPr>
            <w:tcW w:type="dxa" w:w="1234"/>
          </w:tcPr>
          <w:p>
            <w:r>
              <w:rPr>
                <w:rFonts w:ascii="Calibri" w:hAnsi="Calibri"/>
                <w:sz w:val="22"/>
              </w:rPr>
              <w:t>No specific quarterly guidance</w:t>
            </w:r>
          </w:p>
        </w:tc>
        <w:tc>
          <w:tcPr>
            <w:tcW w:type="dxa" w:w="1234"/>
          </w:tcPr>
          <w:p>
            <w:r>
              <w:rPr>
                <w:rFonts w:ascii="Calibri" w:hAnsi="Calibri"/>
                <w:sz w:val="22"/>
              </w:rPr>
              <w:t>Consensus well below Q1 record; Charlotte lease creates tough comp</w:t>
            </w:r>
          </w:p>
        </w:tc>
      </w:tr>
      <w:tr>
        <w:tc>
          <w:tcPr>
            <w:tcW w:type="dxa" w:w="1234"/>
          </w:tcPr>
          <w:p>
            <w:r>
              <w:rPr>
                <w:rFonts w:ascii="Calibri" w:hAnsi="Calibri"/>
                <w:sz w:val="22"/>
              </w:rPr>
              <w:t>Portfolio Occupancy Rate (%)</w:t>
            </w:r>
          </w:p>
        </w:tc>
        <w:tc>
          <w:tcPr>
            <w:tcW w:type="dxa" w:w="1234"/>
          </w:tcPr>
          <w:p>
            <w:r>
              <w:rPr>
                <w:rFonts w:ascii="Calibri" w:hAnsi="Calibri"/>
                <w:sz w:val="22"/>
              </w:rPr>
              <w:t>91.6%</w:t>
            </w:r>
          </w:p>
        </w:tc>
        <w:tc>
          <w:tcPr>
            <w:tcW w:type="dxa" w:w="1234"/>
          </w:tcPr>
          <w:p>
            <w:r>
              <w:rPr>
                <w:rFonts w:ascii="Calibri" w:hAnsi="Calibri"/>
                <w:sz w:val="22"/>
              </w:rPr>
              <w:t>83.0%</w:t>
            </w:r>
          </w:p>
        </w:tc>
        <w:tc>
          <w:tcPr>
            <w:tcW w:type="dxa" w:w="1234"/>
          </w:tcPr>
          <w:p>
            <w:r>
              <w:rPr>
                <w:rFonts w:ascii="Calibri" w:hAnsi="Calibri"/>
                <w:sz w:val="22"/>
              </w:rPr>
              <w:t>84.4%</w:t>
            </w:r>
          </w:p>
        </w:tc>
        <w:tc>
          <w:tcPr>
            <w:tcW w:type="dxa" w:w="1234"/>
          </w:tcPr>
          <w:p>
            <w:r>
              <w:rPr>
                <w:rFonts w:ascii="Calibri" w:hAnsi="Calibri"/>
                <w:sz w:val="22"/>
              </w:rPr>
              <w:t>+140 bps YoY</w:t>
            </w:r>
          </w:p>
        </w:tc>
        <w:tc>
          <w:tcPr>
            <w:tcW w:type="dxa" w:w="1234"/>
          </w:tcPr>
          <w:p>
            <w:r>
              <w:rPr>
                <w:rFonts w:ascii="Calibri" w:hAnsi="Calibri"/>
                <w:sz w:val="22"/>
              </w:rPr>
              <w:t>Power-based occupancy +50–100 bps from YE 2025</w:t>
            </w:r>
          </w:p>
        </w:tc>
        <w:tc>
          <w:tcPr>
            <w:tcW w:type="dxa" w:w="1234"/>
          </w:tcPr>
          <w:p>
            <w:r>
              <w:rPr>
                <w:rFonts w:ascii="Calibri" w:hAnsi="Calibri"/>
                <w:sz w:val="22"/>
              </w:rPr>
              <w:t>N/A — metric transition to power-based underway</w:t>
            </w:r>
          </w:p>
        </w:tc>
      </w:tr>
      <w:tr>
        <w:tc>
          <w:tcPr>
            <w:tcW w:type="dxa" w:w="1234"/>
          </w:tcPr>
          <w:p>
            <w:r>
              <w:rPr>
                <w:rFonts w:ascii="Calibri" w:hAnsi="Calibri"/>
                <w:sz w:val="22"/>
              </w:rPr>
              <w:t>Development CapEx ($M)</w:t>
            </w:r>
          </w:p>
        </w:tc>
        <w:tc>
          <w:tcPr>
            <w:tcW w:type="dxa" w:w="1234"/>
          </w:tcPr>
          <w:p>
            <w:r>
              <w:rPr>
                <w:rFonts w:ascii="Calibri" w:hAnsi="Calibri"/>
                <w:sz w:val="22"/>
              </w:rPr>
              <w:t>$730</w:t>
            </w:r>
          </w:p>
        </w:tc>
        <w:tc>
          <w:tcPr>
            <w:tcW w:type="dxa" w:w="1234"/>
          </w:tcPr>
          <w:p>
            <w:r>
              <w:rPr>
                <w:rFonts w:ascii="Calibri" w:hAnsi="Calibri"/>
                <w:sz w:val="22"/>
              </w:rPr>
              <w:t>$565</w:t>
            </w:r>
          </w:p>
        </w:tc>
        <w:tc>
          <w:tcPr>
            <w:tcW w:type="dxa" w:w="1234"/>
          </w:tcPr>
          <w:p>
            <w:r>
              <w:rPr>
                <w:rFonts w:ascii="Calibri" w:hAnsi="Calibri"/>
                <w:sz w:val="22"/>
              </w:rPr>
              <w:t>$937</w:t>
            </w:r>
          </w:p>
        </w:tc>
        <w:tc>
          <w:tcPr>
            <w:tcW w:type="dxa" w:w="1234"/>
          </w:tcPr>
          <w:p>
            <w:r>
              <w:rPr>
                <w:rFonts w:ascii="Calibri" w:hAnsi="Calibri"/>
                <w:sz w:val="22"/>
              </w:rPr>
              <w:t>+65.8% YoY</w:t>
            </w:r>
          </w:p>
        </w:tc>
        <w:tc>
          <w:tcPr>
            <w:tcW w:type="dxa" w:w="1234"/>
          </w:tcPr>
          <w:p>
            <w:r>
              <w:rPr>
                <w:rFonts w:ascii="Calibri" w:hAnsi="Calibri"/>
                <w:sz w:val="22"/>
              </w:rPr>
              <w:t>Net CapEx $3.5B–$4.0B FY 2026</w:t>
            </w:r>
          </w:p>
        </w:tc>
        <w:tc>
          <w:tcPr>
            <w:tcW w:type="dxa" w:w="1234"/>
          </w:tcPr>
          <w:p>
            <w:r>
              <w:rPr>
                <w:rFonts w:ascii="Calibri" w:hAnsi="Calibri"/>
                <w:sz w:val="22"/>
              </w:rPr>
              <w:t>FY consensus $3.80B ≈ −1.3% vs. midpoint</w:t>
            </w:r>
          </w:p>
        </w:tc>
      </w:tr>
    </w:tbl>
    <w:p>
      <w:r>
        <w:rPr>
          <w:rFonts w:ascii="Calibri" w:hAnsi="Calibri"/>
          <w:i/>
          <w:color w:val="525866"/>
          <w:sz w:val="22"/>
        </w:rPr>
        <w:t>Sources: Visible Alpha Consensus and Actuals Data (Core FFO per Share, Total Revenue, Cash NOI, Leasing 0–1 MW, Leasing &gt;1 MW, Portfolio Occupancy Rate, Development CapEx); DLR Q1 2026 Earnings Call (April 23, 2026); DLR Nareit REITweek Conference (June 3, 2026). Note: Q2 2026 actuals not yet reported. Occupancy figures reflect square-footage-based metric; DLR is transitioning to power-based occupancy disclosure.</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Core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$2.04</w:t>
            </w:r>
          </w:p>
        </w:tc>
        <w:tc>
          <w:tcPr>
            <w:tcW w:type="dxa" w:w="1728"/>
          </w:tcPr>
          <w:p>
            <w:r>
              <w:rPr>
                <w:rFonts w:ascii="Calibri" w:hAnsi="Calibri"/>
                <w:sz w:val="22"/>
              </w:rPr>
              <w:t>$1.94</w:t>
            </w:r>
          </w:p>
        </w:tc>
        <w:tc>
          <w:tcPr>
            <w:tcW w:type="dxa" w:w="1728"/>
          </w:tcPr>
          <w:p>
            <w:r>
              <w:rPr>
                <w:rFonts w:ascii="Calibri" w:hAnsi="Calibri"/>
                <w:b/>
                <w:color w:val="30A46C"/>
                <w:sz w:val="22"/>
              </w:rPr>
              <w:t>+5.2%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$1.86</w:t>
            </w:r>
          </w:p>
        </w:tc>
        <w:tc>
          <w:tcPr>
            <w:tcW w:type="dxa" w:w="1728"/>
          </w:tcPr>
          <w:p>
            <w:r>
              <w:rPr>
                <w:rFonts w:ascii="Calibri" w:hAnsi="Calibri"/>
                <w:sz w:val="22"/>
              </w:rPr>
              <w:t>$1.83</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$1.89</w:t>
            </w:r>
          </w:p>
        </w:tc>
        <w:tc>
          <w:tcPr>
            <w:tcW w:type="dxa" w:w="1728"/>
          </w:tcPr>
          <w:p>
            <w:r>
              <w:rPr>
                <w:rFonts w:ascii="Calibri" w:hAnsi="Calibri"/>
                <w:sz w:val="22"/>
              </w:rPr>
              <w:t>$1.79</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$1.87</w:t>
            </w:r>
          </w:p>
        </w:tc>
        <w:tc>
          <w:tcPr>
            <w:tcW w:type="dxa" w:w="1728"/>
          </w:tcPr>
          <w:p>
            <w:r>
              <w:rPr>
                <w:rFonts w:ascii="Calibri" w:hAnsi="Calibri"/>
                <w:sz w:val="22"/>
              </w:rPr>
              <w:t>$1.75</w:t>
            </w:r>
          </w:p>
        </w:tc>
        <w:tc>
          <w:tcPr>
            <w:tcW w:type="dxa" w:w="1728"/>
          </w:tcPr>
          <w:p>
            <w:r>
              <w:rPr>
                <w:rFonts w:ascii="Calibri" w:hAnsi="Calibri"/>
                <w:b/>
                <w:color w:val="30A46C"/>
                <w:sz w:val="22"/>
              </w:rPr>
              <w:t>+6.9%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$1.77</w:t>
            </w:r>
          </w:p>
        </w:tc>
        <w:tc>
          <w:tcPr>
            <w:tcW w:type="dxa" w:w="1728"/>
          </w:tcPr>
          <w:p>
            <w:r>
              <w:rPr>
                <w:rFonts w:ascii="Calibri" w:hAnsi="Calibri"/>
                <w:sz w:val="22"/>
              </w:rPr>
              <w:t>$1.73</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$1.73</w:t>
            </w:r>
          </w:p>
        </w:tc>
        <w:tc>
          <w:tcPr>
            <w:tcW w:type="dxa" w:w="1728"/>
          </w:tcPr>
          <w:p>
            <w:r>
              <w:rPr>
                <w:rFonts w:ascii="Calibri" w:hAnsi="Calibri"/>
                <w:sz w:val="22"/>
              </w:rPr>
              <w:t>$1.71</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$1.67</w:t>
            </w:r>
          </w:p>
        </w:tc>
        <w:tc>
          <w:tcPr>
            <w:tcW w:type="dxa" w:w="1728"/>
          </w:tcPr>
          <w:p>
            <w:r>
              <w:rPr>
                <w:rFonts w:ascii="Calibri" w:hAnsi="Calibri"/>
                <w:sz w:val="22"/>
              </w:rPr>
              <w:t>$1.66</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KPI 2: 0–1 MW Leasing Bookings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$79</w:t>
            </w:r>
          </w:p>
        </w:tc>
        <w:tc>
          <w:tcPr>
            <w:tcW w:type="dxa" w:w="1728"/>
          </w:tcPr>
          <w:p>
            <w:r>
              <w:rPr>
                <w:rFonts w:ascii="Calibri" w:hAnsi="Calibri"/>
                <w:sz w:val="22"/>
              </w:rPr>
              <w:t>$59</w:t>
            </w:r>
          </w:p>
        </w:tc>
        <w:tc>
          <w:tcPr>
            <w:tcW w:type="dxa" w:w="1728"/>
          </w:tcPr>
          <w:p>
            <w:r>
              <w:rPr>
                <w:rFonts w:ascii="Calibri" w:hAnsi="Calibri"/>
                <w:b/>
                <w:color w:val="30A46C"/>
                <w:sz w:val="22"/>
              </w:rPr>
              <w:t>+33.9%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$77</w:t>
            </w:r>
          </w:p>
        </w:tc>
        <w:tc>
          <w:tcPr>
            <w:tcW w:type="dxa" w:w="1728"/>
          </w:tcPr>
          <w:p>
            <w:r>
              <w:rPr>
                <w:rFonts w:ascii="Calibri" w:hAnsi="Calibri"/>
                <w:sz w:val="22"/>
              </w:rPr>
              <w:t>$66</w:t>
            </w:r>
          </w:p>
        </w:tc>
        <w:tc>
          <w:tcPr>
            <w:tcW w:type="dxa" w:w="1728"/>
          </w:tcPr>
          <w:p>
            <w:r>
              <w:rPr>
                <w:rFonts w:ascii="Calibri" w:hAnsi="Calibri"/>
                <w:b/>
                <w:color w:val="30A46C"/>
                <w:sz w:val="22"/>
              </w:rPr>
              <w:t>+16.7%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$65</w:t>
            </w:r>
          </w:p>
        </w:tc>
        <w:tc>
          <w:tcPr>
            <w:tcW w:type="dxa" w:w="1728"/>
          </w:tcPr>
          <w:p>
            <w:r>
              <w:rPr>
                <w:rFonts w:ascii="Calibri" w:hAnsi="Calibri"/>
                <w:sz w:val="22"/>
              </w:rPr>
              <w:t>$61</w:t>
            </w:r>
          </w:p>
        </w:tc>
        <w:tc>
          <w:tcPr>
            <w:tcW w:type="dxa" w:w="1728"/>
          </w:tcPr>
          <w:p>
            <w:r>
              <w:rPr>
                <w:rFonts w:ascii="Calibri" w:hAnsi="Calibri"/>
                <w:b/>
                <w:color w:val="30A46C"/>
                <w:sz w:val="22"/>
              </w:rPr>
              <w:t>+6.6%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$73</w:t>
            </w:r>
          </w:p>
        </w:tc>
        <w:tc>
          <w:tcPr>
            <w:tcW w:type="dxa" w:w="1728"/>
          </w:tcPr>
          <w:p>
            <w:r>
              <w:rPr>
                <w:rFonts w:ascii="Calibri" w:hAnsi="Calibri"/>
                <w:sz w:val="22"/>
              </w:rPr>
              <w:t>$53</w:t>
            </w:r>
          </w:p>
        </w:tc>
        <w:tc>
          <w:tcPr>
            <w:tcW w:type="dxa" w:w="1728"/>
          </w:tcPr>
          <w:p>
            <w:r>
              <w:rPr>
                <w:rFonts w:ascii="Calibri" w:hAnsi="Calibri"/>
                <w:b/>
                <w:color w:val="30A46C"/>
                <w:sz w:val="22"/>
              </w:rPr>
              <w:t>+37.7%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$54</w:t>
            </w:r>
          </w:p>
        </w:tc>
        <w:tc>
          <w:tcPr>
            <w:tcW w:type="dxa" w:w="1728"/>
          </w:tcPr>
          <w:p>
            <w:r>
              <w:rPr>
                <w:rFonts w:ascii="Calibri" w:hAnsi="Calibri"/>
                <w:sz w:val="22"/>
              </w:rPr>
              <w:t>$51</w:t>
            </w:r>
          </w:p>
        </w:tc>
        <w:tc>
          <w:tcPr>
            <w:tcW w:type="dxa" w:w="1728"/>
          </w:tcPr>
          <w:p>
            <w:r>
              <w:rPr>
                <w:rFonts w:ascii="Calibri" w:hAnsi="Calibri"/>
                <w:b/>
                <w:color w:val="30A46C"/>
                <w:sz w:val="22"/>
              </w:rPr>
              <w:t>+5.9%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$62</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$50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DLR has beaten Core FFO per share consensus in every quarter over the trailing seven reported periods, with the magnitude of beats accelerating from ~1% in 2024 to 5%+ in 2025–2026; 0–1 MW bookings have consistently surprised to the upside, with the Street repeatedly underestimating the enterprise colo ramp.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moved materially higher since the Q4 2025 earnings call — Core FFO per share raised $0.10 at Q1 2026 results — and management's June Nareit commentary suggests the raised bar may itself prove conservative, with tone shifting from confident to emphatic on the enterprise colo trajectory and AI inference demand.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 FY 2026 ($)</w:t>
            </w:r>
          </w:p>
        </w:tc>
        <w:tc>
          <w:tcPr>
            <w:tcW w:type="dxa" w:w="1728"/>
          </w:tcPr>
          <w:p>
            <w:r>
              <w:rPr>
                <w:rFonts w:ascii="Calibri" w:hAnsi="Calibri"/>
                <w:sz w:val="22"/>
              </w:rPr>
              <w:t>$7.90–$8.00 (mid $7.95)</w:t>
            </w:r>
          </w:p>
        </w:tc>
        <w:tc>
          <w:tcPr>
            <w:tcW w:type="dxa" w:w="1728"/>
          </w:tcPr>
          <w:p>
            <w:r>
              <w:rPr>
                <w:rFonts w:ascii="Calibri" w:hAnsi="Calibri"/>
                <w:sz w:val="22"/>
              </w:rPr>
              <w:t>$8.00–$8.10 (mid $8.05)</w:t>
            </w:r>
          </w:p>
        </w:tc>
        <w:tc>
          <w:tcPr>
            <w:tcW w:type="dxa" w:w="1728"/>
          </w:tcPr>
          <w:p>
            <w:r>
              <w:rPr>
                <w:rFonts w:ascii="Calibri" w:hAnsi="Calibri"/>
                <w:sz w:val="22"/>
              </w:rPr>
              <w:t>$8.04</w:t>
            </w:r>
          </w:p>
        </w:tc>
        <w:tc>
          <w:tcPr>
            <w:tcW w:type="dxa" w:w="1728"/>
          </w:tcPr>
          <w:p>
            <w:r>
              <w:rPr>
                <w:rFonts w:ascii="Calibri" w:hAnsi="Calibri"/>
                <w:sz w:val="22"/>
              </w:rPr>
              <w:t>↑ Raised +$0.10 at Q1 2026 earnings (April 23, 2026); mgmt. at Nareit (June 3) characterized growth as “feeling closer to double digits,” implying upside to $8.05 midpoint</w:t>
            </w:r>
          </w:p>
        </w:tc>
      </w:tr>
      <w:tr>
        <w:tc>
          <w:tcPr>
            <w:tcW w:type="dxa" w:w="1728"/>
          </w:tcPr>
          <w:p>
            <w:r>
              <w:rPr>
                <w:rFonts w:ascii="Calibri" w:hAnsi="Calibri"/>
                <w:sz w:val="22"/>
              </w:rPr>
              <w:t>Same-Capital Cash NOI Growth — FY 2026 (constant currency)</w:t>
            </w:r>
          </w:p>
        </w:tc>
        <w:tc>
          <w:tcPr>
            <w:tcW w:type="dxa" w:w="1728"/>
          </w:tcPr>
          <w:p>
            <w:r>
              <w:rPr>
                <w:rFonts w:ascii="Calibri" w:hAnsi="Calibri"/>
                <w:sz w:val="22"/>
              </w:rPr>
              <w:t>4.0%–5.0%</w:t>
            </w:r>
          </w:p>
        </w:tc>
        <w:tc>
          <w:tcPr>
            <w:tcW w:type="dxa" w:w="1728"/>
          </w:tcPr>
          <w:p>
            <w:r>
              <w:rPr>
                <w:rFonts w:ascii="Calibri" w:hAnsi="Calibri"/>
                <w:sz w:val="22"/>
              </w:rPr>
              <w:t>Unchanged at 4.0%–5.0%</w:t>
            </w:r>
          </w:p>
        </w:tc>
        <w:tc>
          <w:tcPr>
            <w:tcW w:type="dxa" w:w="1728"/>
          </w:tcPr>
          <w:p>
            <w:r>
              <w:rPr>
                <w:rFonts w:ascii="Calibri" w:hAnsi="Calibri"/>
                <w:sz w:val="22"/>
              </w:rPr>
              <w:t>N/A — not tracked in VA</w:t>
            </w:r>
          </w:p>
        </w:tc>
        <w:tc>
          <w:tcPr>
            <w:tcW w:type="dxa" w:w="1728"/>
          </w:tcPr>
          <w:p>
            <w:r>
              <w:rPr>
                <w:rFonts w:ascii="Calibri" w:hAnsi="Calibri"/>
                <w:sz w:val="22"/>
              </w:rPr>
              <w:t>Q1 came in at 2.5% (below-trend due to R&amp;M/labor comp); mgmt. expects acceleration through Q2–Q4 to meet full-year range</w:t>
            </w:r>
          </w:p>
        </w:tc>
      </w:tr>
      <w:tr>
        <w:tc>
          <w:tcPr>
            <w:tcW w:type="dxa" w:w="1728"/>
          </w:tcPr>
          <w:p>
            <w:r>
              <w:rPr>
                <w:rFonts w:ascii="Calibri" w:hAnsi="Calibri"/>
                <w:sz w:val="22"/>
              </w:rPr>
              <w:t>Cash Re-leasing Spreads — FY 2026</w:t>
            </w:r>
          </w:p>
        </w:tc>
        <w:tc>
          <w:tcPr>
            <w:tcW w:type="dxa" w:w="1728"/>
          </w:tcPr>
          <w:p>
            <w:r>
              <w:rPr>
                <w:rFonts w:ascii="Calibri" w:hAnsi="Calibri"/>
                <w:sz w:val="22"/>
              </w:rPr>
              <w:t>6.0%–8.0% (mid 7.0%)</w:t>
            </w:r>
          </w:p>
        </w:tc>
        <w:tc>
          <w:tcPr>
            <w:tcW w:type="dxa" w:w="1728"/>
          </w:tcPr>
          <w:p>
            <w:r>
              <w:rPr>
                <w:rFonts w:ascii="Calibri" w:hAnsi="Calibri"/>
                <w:sz w:val="22"/>
              </w:rPr>
              <w:t>6.5%–8.5% (mid 7.5%)</w:t>
            </w:r>
          </w:p>
        </w:tc>
        <w:tc>
          <w:tcPr>
            <w:tcW w:type="dxa" w:w="1728"/>
          </w:tcPr>
          <w:p>
            <w:r>
              <w:rPr>
                <w:rFonts w:ascii="Calibri" w:hAnsi="Calibri"/>
                <w:sz w:val="22"/>
              </w:rPr>
              <w:t>N/A — not tracked in VA</w:t>
            </w:r>
          </w:p>
        </w:tc>
        <w:tc>
          <w:tcPr>
            <w:tcW w:type="dxa" w:w="1728"/>
          </w:tcPr>
          <w:p>
            <w:r>
              <w:rPr>
                <w:rFonts w:ascii="Calibri" w:hAnsi="Calibri"/>
                <w:sz w:val="22"/>
              </w:rPr>
              <w:t>↑ Raised +50 bps at Q1 2026 earnings; reflects improving mark-to-market as legacy low-rate leases expire</w:t>
            </w:r>
          </w:p>
        </w:tc>
      </w:tr>
      <w:tr>
        <w:tc>
          <w:tcPr>
            <w:tcW w:type="dxa" w:w="1728"/>
          </w:tcPr>
          <w:p>
            <w:r>
              <w:rPr>
                <w:rFonts w:ascii="Calibri" w:hAnsi="Calibri"/>
                <w:sz w:val="22"/>
              </w:rPr>
              <w:t>Development CapEx (net of partner) — FY 2026 ($B)</w:t>
            </w:r>
          </w:p>
        </w:tc>
        <w:tc>
          <w:tcPr>
            <w:tcW w:type="dxa" w:w="1728"/>
          </w:tcPr>
          <w:p>
            <w:r>
              <w:rPr>
                <w:rFonts w:ascii="Calibri" w:hAnsi="Calibri"/>
                <w:sz w:val="22"/>
              </w:rPr>
              <w:t>$3.25–$3.75 (mid $3.50)</w:t>
            </w:r>
          </w:p>
        </w:tc>
        <w:tc>
          <w:tcPr>
            <w:tcW w:type="dxa" w:w="1728"/>
          </w:tcPr>
          <w:p>
            <w:r>
              <w:rPr>
                <w:rFonts w:ascii="Calibri" w:hAnsi="Calibri"/>
                <w:sz w:val="22"/>
              </w:rPr>
              <w:t>$3.50–$4.00 (mid $3.75)</w:t>
            </w:r>
          </w:p>
        </w:tc>
        <w:tc>
          <w:tcPr>
            <w:tcW w:type="dxa" w:w="1728"/>
          </w:tcPr>
          <w:p>
            <w:r>
              <w:rPr>
                <w:rFonts w:ascii="Calibri" w:hAnsi="Calibri"/>
                <w:sz w:val="22"/>
              </w:rPr>
              <w:t>$3.80B</w:t>
            </w:r>
          </w:p>
        </w:tc>
        <w:tc>
          <w:tcPr>
            <w:tcW w:type="dxa" w:w="1728"/>
          </w:tcPr>
          <w:p>
            <w:r>
              <w:rPr>
                <w:rFonts w:ascii="Calibri" w:hAnsi="Calibri"/>
                <w:sz w:val="22"/>
              </w:rPr>
              <w:t>↑ Raised +$250M at midpoint at Q1 2026 earnings; reflects accelerating pipeline ramp to 1.2 GW under construction</w:t>
            </w:r>
          </w:p>
        </w:tc>
      </w:tr>
      <w:tr>
        <w:tc>
          <w:tcPr>
            <w:tcW w:type="dxa" w:w="1728"/>
          </w:tcPr>
          <w:p>
            <w:r>
              <w:rPr>
                <w:rFonts w:ascii="Calibri" w:hAnsi="Calibri"/>
                <w:sz w:val="22"/>
              </w:rPr>
              <w:t>Power-Based Occupancy — FY 2026</w:t>
            </w:r>
          </w:p>
        </w:tc>
        <w:tc>
          <w:tcPr>
            <w:tcW w:type="dxa" w:w="1728"/>
          </w:tcPr>
          <w:p>
            <w:r>
              <w:rPr>
                <w:rFonts w:ascii="Calibri" w:hAnsi="Calibri"/>
                <w:sz w:val="22"/>
              </w:rPr>
              <w:t>+50–100 bps from YE 2025</w:t>
            </w:r>
          </w:p>
        </w:tc>
        <w:tc>
          <w:tcPr>
            <w:tcW w:type="dxa" w:w="1728"/>
          </w:tcPr>
          <w:p>
            <w:r>
              <w:rPr>
                <w:rFonts w:ascii="Calibri" w:hAnsi="Calibri"/>
                <w:sz w:val="22"/>
              </w:rPr>
              <w:t>Unchanged</w:t>
            </w:r>
          </w:p>
        </w:tc>
        <w:tc>
          <w:tcPr>
            <w:tcW w:type="dxa" w:w="1728"/>
          </w:tcPr>
          <w:p>
            <w:r>
              <w:rPr>
                <w:rFonts w:ascii="Calibri" w:hAnsi="Calibri"/>
                <w:sz w:val="22"/>
              </w:rPr>
              <w:t>N/A — new metric, not in VA</w:t>
            </w:r>
          </w:p>
        </w:tc>
        <w:tc>
          <w:tcPr>
            <w:tcW w:type="dxa" w:w="1728"/>
          </w:tcPr>
          <w:p>
            <w:r>
              <w:rPr>
                <w:rFonts w:ascii="Calibri" w:hAnsi="Calibri"/>
                <w:sz w:val="22"/>
              </w:rPr>
              <w:t>New power-based metric introduced at Q1 2026; replaces square-footage occupancy; shows materially higher utilization levels</w:t>
            </w:r>
          </w:p>
        </w:tc>
      </w:tr>
      <w:tr>
        <w:tc>
          <w:tcPr>
            <w:tcW w:type="dxa" w:w="1728"/>
          </w:tcPr>
          <w:p>
            <w:r>
              <w:rPr>
                <w:rFonts w:ascii="Calibri" w:hAnsi="Calibri"/>
                <w:sz w:val="22"/>
              </w:rPr>
              <w:t>Enterprise Colo (0–1 MW) Bookings Run Rate</w:t>
            </w:r>
          </w:p>
        </w:tc>
        <w:tc>
          <w:tcPr>
            <w:tcW w:type="dxa" w:w="1728"/>
          </w:tcPr>
          <w:p>
            <w:r>
              <w:rPr>
                <w:rFonts w:ascii="Calibri" w:hAnsi="Calibri"/>
                <w:sz w:val="22"/>
              </w:rPr>
              <w:t>No formal guidance</w:t>
            </w:r>
          </w:p>
        </w:tc>
        <w:tc>
          <w:tcPr>
            <w:tcW w:type="dxa" w:w="1728"/>
          </w:tcPr>
          <w:p>
            <w:r>
              <w:rPr>
                <w:rFonts w:ascii="Calibri" w:hAnsi="Calibri"/>
                <w:sz w:val="22"/>
              </w:rPr>
              <w:t>Approaching $100M/quarter; trending toward $400M/year “in very short order”</w:t>
            </w:r>
          </w:p>
        </w:tc>
        <w:tc>
          <w:tcPr>
            <w:tcW w:type="dxa" w:w="1728"/>
          </w:tcPr>
          <w:p>
            <w:r>
              <w:rPr>
                <w:rFonts w:ascii="Calibri" w:hAnsi="Calibri"/>
                <w:sz w:val="22"/>
              </w:rPr>
              <w:t>$74M Q2 consensus (VA)</w:t>
            </w:r>
          </w:p>
        </w:tc>
        <w:tc>
          <w:tcPr>
            <w:tcW w:type="dxa" w:w="1728"/>
          </w:tcPr>
          <w:p>
            <w:r>
              <w:rPr>
                <w:rFonts w:ascii="Calibri" w:hAnsi="Calibri"/>
                <w:sz w:val="22"/>
              </w:rPr>
              <w:t>↑ Nareit June 3, 2026: mgmt. provided explicit trajectory; consensus materially below stated trajectory — represents upside risk</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print — Q2 2026 Core FFO consensus is up ~2% from the post-Q1 baseline, and FY 2026 consensus is up ~0.5% — tracking guidance closely but not yet pricing in a second raise. The gap between management’s Nareit commentary (“feeling closer to double-digit” growth) and the $8.04 consensus vs. $8.05 midpoint suggests the Street is appropriately cautious but leaves room for positive revision if Q2 bookings sustain momentum.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w:t>
            </w:r>
          </w:p>
        </w:tc>
      </w:tr>
      <w:tr>
        <w:tc>
          <w:tcPr>
            <w:tcW w:type="dxa" w:w="1080"/>
          </w:tcPr>
          <w:p>
            <w:r>
              <w:rPr>
                <w:rFonts w:ascii="Calibri" w:hAnsi="Calibri"/>
                <w:sz w:val="22"/>
              </w:rPr>
              <w:t>Core FFO/Share — Q2 2026</w:t>
            </w:r>
          </w:p>
        </w:tc>
        <w:tc>
          <w:tcPr>
            <w:tcW w:type="dxa" w:w="1080"/>
          </w:tcPr>
          <w:p>
            <w:r>
              <w:rPr>
                <w:rFonts w:ascii="Calibri" w:hAnsi="Calibri"/>
                <w:sz w:val="22"/>
              </w:rPr>
              <w:t>$1.98</w:t>
            </w:r>
          </w:p>
        </w:tc>
        <w:tc>
          <w:tcPr>
            <w:tcW w:type="dxa" w:w="1080"/>
          </w:tcPr>
          <w:p>
            <w:r>
              <w:rPr>
                <w:rFonts w:ascii="Calibri" w:hAnsi="Calibri"/>
                <w:sz w:val="22"/>
              </w:rPr>
              <w:t>$1.98</w:t>
            </w:r>
          </w:p>
        </w:tc>
        <w:tc>
          <w:tcPr>
            <w:tcW w:type="dxa" w:w="1080"/>
          </w:tcPr>
          <w:p>
            <w:r>
              <w:rPr>
                <w:rFonts w:ascii="Calibri" w:hAnsi="Calibri"/>
                <w:sz w:val="22"/>
              </w:rPr>
              <w:t>~0%</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 FY 2026</w:t>
            </w:r>
          </w:p>
        </w:tc>
        <w:tc>
          <w:tcPr>
            <w:tcW w:type="dxa" w:w="1080"/>
          </w:tcPr>
          <w:p>
            <w:r>
              <w:rPr>
                <w:rFonts w:ascii="Calibri" w:hAnsi="Calibri"/>
                <w:sz w:val="22"/>
              </w:rPr>
              <w:t>$8.08</w:t>
            </w:r>
          </w:p>
        </w:tc>
        <w:tc>
          <w:tcPr>
            <w:tcW w:type="dxa" w:w="1080"/>
          </w:tcPr>
          <w:p>
            <w:r>
              <w:rPr>
                <w:rFonts w:ascii="Calibri" w:hAnsi="Calibri"/>
                <w:sz w:val="22"/>
              </w:rPr>
              <w:t>$8.04</w:t>
            </w:r>
          </w:p>
        </w:tc>
        <w:tc>
          <w:tcPr>
            <w:tcW w:type="dxa" w:w="1080"/>
          </w:tcPr>
          <w:p>
            <w:r>
              <w:rPr>
                <w:rFonts w:ascii="Calibri" w:hAnsi="Calibri"/>
                <w:sz w:val="22"/>
              </w:rPr>
              <w:t>−0.5%</w:t>
            </w:r>
          </w:p>
        </w:tc>
        <w:tc>
          <w:tcPr>
            <w:tcW w:type="dxa" w:w="1080"/>
          </w:tcPr>
          <w:p>
            <w:r>
              <w:rPr>
                <w:rFonts w:ascii="Calibri" w:hAnsi="Calibri"/>
                <w:sz w:val="22"/>
              </w:rPr>
              <w:t>$7.90–$8.00 (mid $7.95)</w:t>
            </w:r>
          </w:p>
        </w:tc>
        <w:tc>
          <w:tcPr>
            <w:tcW w:type="dxa" w:w="1080"/>
          </w:tcPr>
          <w:p>
            <w:r>
              <w:rPr>
                <w:rFonts w:ascii="Calibri" w:hAnsi="Calibri"/>
                <w:sz w:val="22"/>
              </w:rPr>
              <w:t>$8.00–$8.10 (mid $8.05)</w:t>
            </w:r>
          </w:p>
        </w:tc>
        <w:tc>
          <w:tcPr>
            <w:tcW w:type="dxa" w:w="1080"/>
          </w:tcPr>
          <w:p>
            <w:r>
              <w:rPr>
                <w:rFonts w:ascii="Calibri" w:hAnsi="Calibri"/>
                <w:sz w:val="22"/>
              </w:rPr>
              <w:t>+$0.10 (+1.3%)</w:t>
            </w:r>
          </w:p>
        </w:tc>
        <w:tc>
          <w:tcPr>
            <w:tcW w:type="dxa" w:w="1080"/>
          </w:tcPr>
          <w:p>
            <w:r>
              <w:rPr>
                <w:rFonts w:ascii="Calibri" w:hAnsi="Calibri"/>
                <w:sz w:val="22"/>
              </w:rPr>
              <w:t>−0.1% vs. midpoint</w:t>
            </w:r>
          </w:p>
        </w:tc>
      </w:tr>
      <w:tr>
        <w:tc>
          <w:tcPr>
            <w:tcW w:type="dxa" w:w="1080"/>
          </w:tcPr>
          <w:p>
            <w:r>
              <w:rPr>
                <w:rFonts w:ascii="Calibri" w:hAnsi="Calibri"/>
                <w:sz w:val="22"/>
              </w:rPr>
              <w:t>Total Revenue — Q2 2026 ($M)</w:t>
            </w:r>
          </w:p>
        </w:tc>
        <w:tc>
          <w:tcPr>
            <w:tcW w:type="dxa" w:w="1080"/>
          </w:tcPr>
          <w:p>
            <w:r>
              <w:rPr>
                <w:rFonts w:ascii="Calibri" w:hAnsi="Calibri"/>
                <w:sz w:val="22"/>
              </w:rPr>
              <w:t>$1,646</w:t>
            </w:r>
          </w:p>
        </w:tc>
        <w:tc>
          <w:tcPr>
            <w:tcW w:type="dxa" w:w="1080"/>
          </w:tcPr>
          <w:p>
            <w:r>
              <w:rPr>
                <w:rFonts w:ascii="Calibri" w:hAnsi="Calibri"/>
                <w:sz w:val="22"/>
              </w:rPr>
              <w:t>$1,655</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 ($B)</w:t>
            </w:r>
          </w:p>
        </w:tc>
        <w:tc>
          <w:tcPr>
            <w:tcW w:type="dxa" w:w="1080"/>
          </w:tcPr>
          <w:p>
            <w:r>
              <w:rPr>
                <w:rFonts w:ascii="Calibri" w:hAnsi="Calibri"/>
                <w:sz w:val="22"/>
              </w:rPr>
              <w:t>$6.73</w:t>
            </w:r>
          </w:p>
        </w:tc>
        <w:tc>
          <w:tcPr>
            <w:tcW w:type="dxa" w:w="1080"/>
          </w:tcPr>
          <w:p>
            <w:r>
              <w:rPr>
                <w:rFonts w:ascii="Calibri" w:hAnsi="Calibri"/>
                <w:sz w:val="22"/>
              </w:rPr>
              <w:t>$6.75</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Cash NOI — Q2 2026 ($M)</w:t>
            </w:r>
          </w:p>
        </w:tc>
        <w:tc>
          <w:tcPr>
            <w:tcW w:type="dxa" w:w="1080"/>
          </w:tcPr>
          <w:p>
            <w:r>
              <w:rPr>
                <w:rFonts w:ascii="Calibri" w:hAnsi="Calibri"/>
                <w:sz w:val="22"/>
              </w:rPr>
              <w:t>$876</w:t>
            </w:r>
          </w:p>
        </w:tc>
        <w:tc>
          <w:tcPr>
            <w:tcW w:type="dxa" w:w="1080"/>
          </w:tcPr>
          <w:p>
            <w:r>
              <w:rPr>
                <w:rFonts w:ascii="Calibri" w:hAnsi="Calibri"/>
                <w:sz w:val="22"/>
              </w:rPr>
              <w:t>$884</w:t>
            </w:r>
          </w:p>
        </w:tc>
        <w:tc>
          <w:tcPr>
            <w:tcW w:type="dxa" w:w="1080"/>
          </w:tcPr>
          <w:p>
            <w:r>
              <w:rPr>
                <w:rFonts w:ascii="Calibri" w:hAnsi="Calibri"/>
                <w:sz w:val="22"/>
              </w:rPr>
              <w:t>+0.9%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0–1 MW Leasing — Q2 2026 ($M)</w:t>
            </w:r>
          </w:p>
        </w:tc>
        <w:tc>
          <w:tcPr>
            <w:tcW w:type="dxa" w:w="1080"/>
          </w:tcPr>
          <w:p>
            <w:r>
              <w:rPr>
                <w:rFonts w:ascii="Calibri" w:hAnsi="Calibri"/>
                <w:sz w:val="22"/>
              </w:rPr>
              <w:t>$74</w:t>
            </w:r>
          </w:p>
        </w:tc>
        <w:tc>
          <w:tcPr>
            <w:tcW w:type="dxa" w:w="1080"/>
          </w:tcPr>
          <w:p>
            <w:r>
              <w:rPr>
                <w:rFonts w:ascii="Calibri" w:hAnsi="Calibri"/>
                <w:sz w:val="22"/>
              </w:rPr>
              <w:t>$74</w:t>
            </w:r>
          </w:p>
        </w:tc>
        <w:tc>
          <w:tcPr>
            <w:tcW w:type="dxa" w:w="1080"/>
          </w:tcPr>
          <w:p>
            <w:r>
              <w:rPr>
                <w:rFonts w:ascii="Calibri" w:hAnsi="Calibri"/>
                <w:sz w:val="22"/>
              </w:rPr>
              <w:t>~0%</w:t>
            </w:r>
          </w:p>
        </w:tc>
        <w:tc>
          <w:tcPr>
            <w:tcW w:type="dxa" w:w="1080"/>
          </w:tcPr>
          <w:p>
            <w:r>
              <w:rPr>
                <w:rFonts w:ascii="Calibri" w:hAnsi="Calibri"/>
                <w:sz w:val="22"/>
              </w:rPr>
              <w:t>N/A</w:t>
            </w:r>
          </w:p>
        </w:tc>
        <w:tc>
          <w:tcPr>
            <w:tcW w:type="dxa" w:w="1080"/>
          </w:tcPr>
          <w:p>
            <w:r>
              <w:rPr>
                <w:rFonts w:ascii="Calibri" w:hAnsi="Calibri"/>
                <w:sz w:val="22"/>
              </w:rPr>
              <w:t>Approaching $100M/quarter (Nareit, June 3)</w:t>
            </w:r>
          </w:p>
        </w:tc>
        <w:tc>
          <w:tcPr>
            <w:tcW w:type="dxa" w:w="1080"/>
          </w:tcPr>
          <w:p>
            <w:r>
              <w:rPr>
                <w:rFonts w:ascii="Calibri" w:hAnsi="Calibri"/>
                <w:sz w:val="22"/>
              </w:rPr>
              <w:t>N/A</w:t>
            </w:r>
          </w:p>
        </w:tc>
        <w:tc>
          <w:tcPr>
            <w:tcW w:type="dxa" w:w="1080"/>
          </w:tcPr>
          <w:p>
            <w:r>
              <w:rPr>
                <w:rFonts w:ascii="Calibri" w:hAnsi="Calibri"/>
                <w:sz w:val="22"/>
              </w:rPr>
              <w:t>Consensus ~26% below mgmt. trajectory — largest upside risk</w:t>
            </w:r>
          </w:p>
        </w:tc>
      </w:tr>
    </w:tbl>
    <w:p>
      <w:r>
        <w:rPr>
          <w:rFonts w:ascii="Calibri" w:hAnsi="Calibri"/>
          <w:i/>
          <w:color w:val="525866"/>
          <w:sz w:val="22"/>
        </w:rPr>
        <w:t>The most notable divergence is in 0–1 MW bookings, where the VA consensus of $74M sits materially below management’s stated trajectory of approaching $100M per quarter — a gap that has been the source of repeated upside surprises over the past four quarters. FY 2026 Core FFO consensus of $8.04 is essentially in line with the $8.05 guidance midpoint, meaning any Q2 beat that prompts a second guidance raise would likely drive meaningful estimate revisions. Source: Visible Alpha Consensus and Actuals Data; DLR Q1 2026 Earnings Call; DLR Nareit REITweek Conference (June 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stock’s 11% decline from its post-Q1 high is almost entirely multiple compression — EV/EBITDA contracted ~9% over three months while estimates moved higher — suggesting the selloff is sentiment/rate-driven rather than fundamental, and creating a more attractive entry point ahead of the print.</w:t>
      </w:r>
    </w:p>
    <w:p>
      <w:r>
        <w:rPr>
          <w:rFonts w:ascii="Calibri" w:hAnsi="Calibri"/>
          <w:color w:val="525866"/>
          <w:sz w:val="22"/>
        </w:rPr>
        <w:t xml:space="preserve">Since the Q1 2026 earnings date (April 23, 2026), DLR has declined approximately </w:t>
      </w:r>
      <w:r>
        <w:rPr>
          <w:rFonts w:ascii="Calibri" w:hAnsi="Calibri"/>
          <w:b/>
          <w:color w:val="525866"/>
          <w:sz w:val="22"/>
        </w:rPr>
        <w:t>−10.8%</w:t>
      </w:r>
      <w:r>
        <w:rPr>
          <w:rFonts w:ascii="Calibri" w:hAnsi="Calibri"/>
          <w:color w:val="525866"/>
          <w:sz w:val="22"/>
        </w:rPr>
        <w:t xml:space="preserve"> (from $200.00 to $178.41 as of July 22, 2026), significantly underperforming the S&amp;P 500 (+5.5%) and modestly underperforming the XLRE REIT ETF (+2.4%) over the same period. The stock reached a post-Q1 high of ~$200.94 on April 30 before a sustained drawdown through late June, bottoming near $179.58 on June 30. The performance decomposition is instructive: over the trailing three months, EV/EBITDA contracted from ~23.7x to ~21.5x (−9.4%), while Core FFO estimates moved higher — indicating the selloff was driven by multiple compression (likely rate sensitivity and sector rotation) rather than deteriorating fundamentals. The stock has partially recovered from its June 30 trough, suggesting the market is beginning to re-engage ahead of earnings. Key events during the period include: (1) the $7.5B ATM equity program established May 4, which created near-term dilution overhang; (2) the June 22 acquisition of additional Teraco JV interest; (3) the June 29 announcement of the $3.58B Blackstone JV buyout (288 MW, 100% leased, investment-grade hyperscalers), which was initially received cautiously given the equity component but is accretive to Core FFO in 2027–2028; and (4) the July 1 Blackstone secondary offering of $2.28B in DLR shares, which created additional near-term supply pressure. The sector ETF used is XLRE (Real Estate Select Sector SPDR Fund), which captures DLR’s REIT classification and rate sensitivity.</w:t>
      </w:r>
    </w:p>
    <w:p>
      <w:r>
        <w:rPr>
          <w:rFonts w:ascii="Calibri" w:hAnsi="Calibri"/>
          <w:i/>
          <w:color w:val="525866"/>
          <w:sz w:val="22"/>
        </w:rPr>
        <w:t>Source: Stock Price Data (Yahoo Finance). Performance decomposition: NTM EV/EBITDA multiples from company context data.</w:t>
      </w:r>
    </w:p>
    <w:p>
      <w:pPr>
        <w:pStyle w:val="Heading3"/>
      </w:pPr>
      <w:r>
        <w:rPr>
          <w:rFonts w:ascii="Calibri" w:hAnsi="Calibri"/>
          <w:b/>
          <w:color w:val="3B4259"/>
          <w:sz w:val="24"/>
        </w:rPr>
        <w:t>Stock Performance Table — DLR vs. XLRE vs. S&amp;P 500 (Indexed, Base = 100 at April 23,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DLR (Indexed)</w:t>
            </w:r>
          </w:p>
        </w:tc>
        <w:tc>
          <w:tcPr>
            <w:tcW w:type="dxa" w:w="1728"/>
            <w:shd w:val="clear" w:color="auto" w:fill="3B4259"/>
          </w:tcPr>
          <w:p>
            <w:r>
              <w:rPr>
                <w:rFonts w:ascii="Calibri" w:hAnsi="Calibri"/>
                <w:b/>
                <w:color w:val="FFFFFF"/>
                <w:sz w:val="22"/>
              </w:rPr>
              <w:t>XLRE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23,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(base)</w:t>
            </w:r>
          </w:p>
        </w:tc>
      </w:tr>
      <w:tr>
        <w:tc>
          <w:tcPr>
            <w:tcW w:type="dxa" w:w="1728"/>
          </w:tcPr>
          <w:p>
            <w:r>
              <w:rPr>
                <w:rFonts w:ascii="Calibri" w:hAnsi="Calibri"/>
                <w:sz w:val="22"/>
              </w:rPr>
              <w:t>Apr 30, 2026</w:t>
            </w:r>
          </w:p>
        </w:tc>
        <w:tc>
          <w:tcPr>
            <w:tcW w:type="dxa" w:w="1728"/>
          </w:tcPr>
          <w:p>
            <w:r>
              <w:rPr>
                <w:rFonts w:ascii="Calibri" w:hAnsi="Calibri"/>
                <w:sz w:val="22"/>
              </w:rPr>
              <w:t>100.5</w:t>
            </w:r>
          </w:p>
        </w:tc>
        <w:tc>
          <w:tcPr>
            <w:tcW w:type="dxa" w:w="1728"/>
          </w:tcPr>
          <w:p>
            <w:r>
              <w:rPr>
                <w:rFonts w:ascii="Calibri" w:hAnsi="Calibri"/>
                <w:sz w:val="22"/>
              </w:rPr>
              <w:t>101.0</w:t>
            </w:r>
          </w:p>
        </w:tc>
        <w:tc>
          <w:tcPr>
            <w:tcW w:type="dxa" w:w="1728"/>
          </w:tcPr>
          <w:p>
            <w:r>
              <w:rPr>
                <w:rFonts w:ascii="Calibri" w:hAnsi="Calibri"/>
                <w:sz w:val="22"/>
              </w:rPr>
              <w:t>101.4</w:t>
            </w:r>
          </w:p>
        </w:tc>
        <w:tc>
          <w:tcPr>
            <w:tcW w:type="dxa" w:w="1728"/>
          </w:tcPr>
          <w:p>
            <w:r>
              <w:rPr>
                <w:rFonts w:ascii="Calibri" w:hAnsi="Calibri"/>
                <w:sz w:val="22"/>
              </w:rPr>
              <w:t>Post-earnings high</w:t>
            </w:r>
          </w:p>
        </w:tc>
      </w:tr>
      <w:tr>
        <w:tc>
          <w:tcPr>
            <w:tcW w:type="dxa" w:w="1728"/>
          </w:tcPr>
          <w:p>
            <w:r>
              <w:rPr>
                <w:rFonts w:ascii="Calibri" w:hAnsi="Calibri"/>
                <w:sz w:val="22"/>
              </w:rPr>
              <w:t>May 4, 2026</w:t>
            </w:r>
          </w:p>
        </w:tc>
        <w:tc>
          <w:tcPr>
            <w:tcW w:type="dxa" w:w="1728"/>
          </w:tcPr>
          <w:p>
            <w:r>
              <w:rPr>
                <w:rFonts w:ascii="Calibri" w:hAnsi="Calibri"/>
                <w:sz w:val="22"/>
              </w:rPr>
              <w:t>99.3</w:t>
            </w:r>
          </w:p>
        </w:tc>
        <w:tc>
          <w:tcPr>
            <w:tcW w:type="dxa" w:w="1728"/>
          </w:tcPr>
          <w:p>
            <w:r>
              <w:rPr>
                <w:rFonts w:ascii="Calibri" w:hAnsi="Calibri"/>
                <w:sz w:val="22"/>
              </w:rPr>
              <w:t>100.3</w:t>
            </w:r>
          </w:p>
        </w:tc>
        <w:tc>
          <w:tcPr>
            <w:tcW w:type="dxa" w:w="1728"/>
          </w:tcPr>
          <w:p>
            <w:r>
              <w:rPr>
                <w:rFonts w:ascii="Calibri" w:hAnsi="Calibri"/>
                <w:sz w:val="22"/>
              </w:rPr>
              <w:t>101.4</w:t>
            </w:r>
          </w:p>
        </w:tc>
        <w:tc>
          <w:tcPr>
            <w:tcW w:type="dxa" w:w="1728"/>
          </w:tcPr>
          <w:p>
            <w:r>
              <w:rPr>
                <w:rFonts w:ascii="Calibri" w:hAnsi="Calibri"/>
                <w:sz w:val="22"/>
              </w:rPr>
              <w:t>$7.5B ATM program established</w:t>
            </w:r>
          </w:p>
        </w:tc>
      </w:tr>
      <w:tr>
        <w:tc>
          <w:tcPr>
            <w:tcW w:type="dxa" w:w="1728"/>
          </w:tcPr>
          <w:p>
            <w:r>
              <w:rPr>
                <w:rFonts w:ascii="Calibri" w:hAnsi="Calibri"/>
                <w:sz w:val="22"/>
              </w:rPr>
              <w:t>Jun 3, 2026</w:t>
            </w:r>
          </w:p>
        </w:tc>
        <w:tc>
          <w:tcPr>
            <w:tcW w:type="dxa" w:w="1728"/>
          </w:tcPr>
          <w:p>
            <w:r>
              <w:rPr>
                <w:rFonts w:ascii="Calibri" w:hAnsi="Calibri"/>
                <w:sz w:val="22"/>
              </w:rPr>
              <w:t>91.8</w:t>
            </w:r>
          </w:p>
        </w:tc>
        <w:tc>
          <w:tcPr>
            <w:tcW w:type="dxa" w:w="1728"/>
          </w:tcPr>
          <w:p>
            <w:r>
              <w:rPr>
                <w:rFonts w:ascii="Calibri" w:hAnsi="Calibri"/>
                <w:sz w:val="22"/>
              </w:rPr>
              <w:t>99.0</w:t>
            </w:r>
          </w:p>
        </w:tc>
        <w:tc>
          <w:tcPr>
            <w:tcW w:type="dxa" w:w="1728"/>
          </w:tcPr>
          <w:p>
            <w:r>
              <w:rPr>
                <w:rFonts w:ascii="Calibri" w:hAnsi="Calibri"/>
                <w:sz w:val="22"/>
              </w:rPr>
              <w:t>106.5</w:t>
            </w:r>
          </w:p>
        </w:tc>
        <w:tc>
          <w:tcPr>
            <w:tcW w:type="dxa" w:w="1728"/>
          </w:tcPr>
          <w:p>
            <w:r>
              <w:rPr>
                <w:rFonts w:ascii="Calibri" w:hAnsi="Calibri"/>
                <w:sz w:val="22"/>
              </w:rPr>
              <w:t>Nareit REITweek — mgmt. bullish commentary</w:t>
            </w:r>
          </w:p>
        </w:tc>
      </w:tr>
      <w:tr>
        <w:tc>
          <w:tcPr>
            <w:tcW w:type="dxa" w:w="1728"/>
          </w:tcPr>
          <w:p>
            <w:r>
              <w:rPr>
                <w:rFonts w:ascii="Calibri" w:hAnsi="Calibri"/>
                <w:sz w:val="22"/>
              </w:rPr>
              <w:t>Jun 22, 2026</w:t>
            </w:r>
          </w:p>
        </w:tc>
        <w:tc>
          <w:tcPr>
            <w:tcW w:type="dxa" w:w="1728"/>
          </w:tcPr>
          <w:p>
            <w:r>
              <w:rPr>
                <w:rFonts w:ascii="Calibri" w:hAnsi="Calibri"/>
                <w:sz w:val="22"/>
              </w:rPr>
              <w:t>97.8</w:t>
            </w:r>
          </w:p>
        </w:tc>
        <w:tc>
          <w:tcPr>
            <w:tcW w:type="dxa" w:w="1728"/>
          </w:tcPr>
          <w:p>
            <w:r>
              <w:rPr>
                <w:rFonts w:ascii="Calibri" w:hAnsi="Calibri"/>
                <w:sz w:val="22"/>
              </w:rPr>
              <w:t>100.1</w:t>
            </w:r>
          </w:p>
        </w:tc>
        <w:tc>
          <w:tcPr>
            <w:tcW w:type="dxa" w:w="1728"/>
          </w:tcPr>
          <w:p>
            <w:r>
              <w:rPr>
                <w:rFonts w:ascii="Calibri" w:hAnsi="Calibri"/>
                <w:sz w:val="22"/>
              </w:rPr>
              <w:t>105.1</w:t>
            </w:r>
          </w:p>
        </w:tc>
        <w:tc>
          <w:tcPr>
            <w:tcW w:type="dxa" w:w="1728"/>
          </w:tcPr>
          <w:p>
            <w:r>
              <w:rPr>
                <w:rFonts w:ascii="Calibri" w:hAnsi="Calibri"/>
                <w:sz w:val="22"/>
              </w:rPr>
              <w:t>Teraco JV interest increase announced</w:t>
            </w:r>
          </w:p>
        </w:tc>
      </w:tr>
      <w:tr>
        <w:tc>
          <w:tcPr>
            <w:tcW w:type="dxa" w:w="1728"/>
          </w:tcPr>
          <w:p>
            <w:r>
              <w:rPr>
                <w:rFonts w:ascii="Calibri" w:hAnsi="Calibri"/>
                <w:sz w:val="22"/>
              </w:rPr>
              <w:t>Jun 29, 2026</w:t>
            </w:r>
          </w:p>
        </w:tc>
        <w:tc>
          <w:tcPr>
            <w:tcW w:type="dxa" w:w="1728"/>
          </w:tcPr>
          <w:p>
            <w:r>
              <w:rPr>
                <w:rFonts w:ascii="Calibri" w:hAnsi="Calibri"/>
                <w:sz w:val="22"/>
              </w:rPr>
              <w:t>95.3</w:t>
            </w:r>
          </w:p>
        </w:tc>
        <w:tc>
          <w:tcPr>
            <w:tcW w:type="dxa" w:w="1728"/>
          </w:tcPr>
          <w:p>
            <w:r>
              <w:rPr>
                <w:rFonts w:ascii="Calibri" w:hAnsi="Calibri"/>
                <w:sz w:val="22"/>
              </w:rPr>
              <w:t>102.2</w:t>
            </w:r>
          </w:p>
        </w:tc>
        <w:tc>
          <w:tcPr>
            <w:tcW w:type="dxa" w:w="1728"/>
          </w:tcPr>
          <w:p>
            <w:r>
              <w:rPr>
                <w:rFonts w:ascii="Calibri" w:hAnsi="Calibri"/>
                <w:sz w:val="22"/>
              </w:rPr>
              <w:t>104.6</w:t>
            </w:r>
          </w:p>
        </w:tc>
        <w:tc>
          <w:tcPr>
            <w:tcW w:type="dxa" w:w="1728"/>
          </w:tcPr>
          <w:p>
            <w:r>
              <w:rPr>
                <w:rFonts w:ascii="Calibri" w:hAnsi="Calibri"/>
                <w:sz w:val="22"/>
              </w:rPr>
              <w:t>Blackstone JV buyout ($3.58B) announced</w:t>
            </w:r>
          </w:p>
        </w:tc>
      </w:tr>
      <w:tr>
        <w:tc>
          <w:tcPr>
            <w:tcW w:type="dxa" w:w="1728"/>
          </w:tcPr>
          <w:p>
            <w:r>
              <w:rPr>
                <w:rFonts w:ascii="Calibri" w:hAnsi="Calibri"/>
                <w:sz w:val="22"/>
              </w:rPr>
              <w:t>Jun 30, 2026</w:t>
            </w:r>
          </w:p>
        </w:tc>
        <w:tc>
          <w:tcPr>
            <w:tcW w:type="dxa" w:w="1728"/>
          </w:tcPr>
          <w:p>
            <w:r>
              <w:rPr>
                <w:rFonts w:ascii="Calibri" w:hAnsi="Calibri"/>
                <w:sz w:val="22"/>
              </w:rPr>
              <w:t>89.8</w:t>
            </w:r>
          </w:p>
        </w:tc>
        <w:tc>
          <w:tcPr>
            <w:tcW w:type="dxa" w:w="1728"/>
          </w:tcPr>
          <w:p>
            <w:r>
              <w:rPr>
                <w:rFonts w:ascii="Calibri" w:hAnsi="Calibri"/>
                <w:sz w:val="22"/>
              </w:rPr>
              <w:t>100.2</w:t>
            </w:r>
          </w:p>
        </w:tc>
        <w:tc>
          <w:tcPr>
            <w:tcW w:type="dxa" w:w="1728"/>
          </w:tcPr>
          <w:p>
            <w:r>
              <w:rPr>
                <w:rFonts w:ascii="Calibri" w:hAnsi="Calibri"/>
                <w:sz w:val="22"/>
              </w:rPr>
              <w:t>105.4</w:t>
            </w:r>
          </w:p>
        </w:tc>
        <w:tc>
          <w:tcPr>
            <w:tcW w:type="dxa" w:w="1728"/>
          </w:tcPr>
          <w:p>
            <w:r>
              <w:rPr>
                <w:rFonts w:ascii="Calibri" w:hAnsi="Calibri"/>
                <w:sz w:val="22"/>
              </w:rPr>
              <w:t>Period trough; Blackstone secondary ($2.28B) filed Jul 1</w:t>
            </w:r>
          </w:p>
        </w:tc>
      </w:tr>
      <w:tr>
        <w:tc>
          <w:tcPr>
            <w:tcW w:type="dxa" w:w="1728"/>
          </w:tcPr>
          <w:p>
            <w:r>
              <w:rPr>
                <w:rFonts w:ascii="Calibri" w:hAnsi="Calibri"/>
                <w:sz w:val="22"/>
              </w:rPr>
              <w:t>Jul 22, 2026</w:t>
            </w:r>
          </w:p>
        </w:tc>
        <w:tc>
          <w:tcPr>
            <w:tcW w:type="dxa" w:w="1728"/>
          </w:tcPr>
          <w:p>
            <w:r>
              <w:rPr>
                <w:rFonts w:ascii="Calibri" w:hAnsi="Calibri"/>
                <w:sz w:val="22"/>
              </w:rPr>
              <w:t>89.2</w:t>
            </w:r>
          </w:p>
        </w:tc>
        <w:tc>
          <w:tcPr>
            <w:tcW w:type="dxa" w:w="1728"/>
          </w:tcPr>
          <w:p>
            <w:r>
              <w:rPr>
                <w:rFonts w:ascii="Calibri" w:hAnsi="Calibri"/>
                <w:sz w:val="22"/>
              </w:rPr>
              <w:t>102.4</w:t>
            </w:r>
          </w:p>
        </w:tc>
        <w:tc>
          <w:tcPr>
            <w:tcW w:type="dxa" w:w="1728"/>
          </w:tcPr>
          <w:p>
            <w:r>
              <w:rPr>
                <w:rFonts w:ascii="Calibri" w:hAnsi="Calibri"/>
                <w:sz w:val="22"/>
              </w:rPr>
              <w:t>105.5</w:t>
            </w:r>
          </w:p>
        </w:tc>
        <w:tc>
          <w:tcPr>
            <w:tcW w:type="dxa" w:w="1728"/>
          </w:tcPr>
          <w:p>
            <w:r>
              <w:rPr>
                <w:rFonts w:ascii="Calibri" w:hAnsi="Calibri"/>
                <w:sz w:val="22"/>
              </w:rPr>
              <w:t>Day before Q2 earnings</w:t>
            </w:r>
          </w:p>
        </w:tc>
      </w:tr>
    </w:tbl>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29 Blackstone JV buyout — acquiring 288 MW of 100%-leased, investment-grade hyperscale capacity in Northern Virginia for $3.58B. While accretive to Core FFO in 2027–2028, the equity-funded structure and associated Blackstone secondary created near-term dilution overhang that has weighed on the stock. The Q2 print will need to address integration, leverage impact, and the path to accretion.</w:t>
      </w:r>
    </w:p>
    <w:p>
      <w:pPr>
        <w:pStyle w:val="ListBullet"/>
        <w:ind w:left="360" w:hanging="360"/>
      </w:pPr>
      <w:r>
        <w:rPr>
          <w:rFonts w:ascii="Calibri" w:hAnsi="Calibri"/>
          <w:b/>
          <w:color w:val="525866"/>
          <w:sz w:val="22"/>
        </w:rPr>
        <w:t>June 29, 2026 — Blackstone JV Buyout ($3.58B, 288 MW, 100% Leased):</w:t>
      </w:r>
      <w:r>
        <w:rPr>
          <w:rFonts w:ascii="Calibri" w:hAnsi="Calibri"/>
          <w:color w:val="525866"/>
          <w:sz w:val="22"/>
        </w:rPr>
        <w:t xml:space="preserve"> DLR agreed to acquire Blackstone’s blended 64% interests in the Digital Carver Dulles 9 and Digital Carver Brickyard JVs for $1.23B cash + ~$2.35B in non-voting common stock. The three Northern Virginia hyperscale data centers (288 MW total) are 100% leased to three distinct investment-grade hyperscalers on 15-year terms with 3.6% annual escalators (blended Aa3/AA− credit). Two facilities stabilize in H1 2027, the third in H1 2028. Management characterized the deal as leverage-neutral and accretive to Core FFO in 2027–2028. </w:t>
      </w:r>
      <w:r>
        <w:rPr>
          <w:rFonts w:ascii="Calibri" w:hAnsi="Calibri"/>
          <w:b/>
          <w:color w:val="525866"/>
          <w:sz w:val="22"/>
        </w:rPr>
        <w:t>Implication:</w:t>
      </w:r>
      <w:r>
        <w:rPr>
          <w:rFonts w:ascii="Calibri" w:hAnsi="Calibri"/>
          <w:color w:val="525866"/>
          <w:sz w:val="22"/>
        </w:rPr>
        <w:t xml:space="preserve"> Adds significant backlog and long-duration revenue visibility, but the equity component (~$2.35B) and subsequent Blackstone secondary ($2.28B, July 1) created supply overhang that has pressured the stock. Watch for management’s updated leverage and accretion commentary on the Q2 call.</w:t>
      </w:r>
    </w:p>
    <w:p>
      <w:pPr>
        <w:pStyle w:val="ListBullet"/>
        <w:ind w:left="360" w:hanging="360"/>
      </w:pPr>
      <w:r>
        <w:rPr>
          <w:rFonts w:ascii="Calibri" w:hAnsi="Calibri"/>
          <w:b/>
          <w:color w:val="525866"/>
          <w:sz w:val="22"/>
        </w:rPr>
        <w:t>July 1, 2026 — Blackstone Secondary Offering ($2.28B):</w:t>
      </w:r>
      <w:r>
        <w:rPr>
          <w:rFonts w:ascii="Calibri" w:hAnsi="Calibri"/>
          <w:color w:val="525866"/>
          <w:sz w:val="22"/>
        </w:rPr>
        <w:t xml:space="preserve"> Following the JV buyout, Blackstone sold $2.28B of DLR shares received as consideration, creating a large secondary supply event. </w:t>
      </w:r>
      <w:r>
        <w:rPr>
          <w:rFonts w:ascii="Calibri" w:hAnsi="Calibri"/>
          <w:b/>
          <w:color w:val="525866"/>
          <w:sz w:val="22"/>
        </w:rPr>
        <w:t>Implication:</w:t>
      </w:r>
      <w:r>
        <w:rPr>
          <w:rFonts w:ascii="Calibri" w:hAnsi="Calibri"/>
          <w:color w:val="525866"/>
          <w:sz w:val="22"/>
        </w:rPr>
        <w:t xml:space="preserve"> Near-term technical overhang now largely cleared; stock has partially recovered from the June 30 trough.</w:t>
      </w:r>
    </w:p>
    <w:p>
      <w:pPr>
        <w:pStyle w:val="ListBullet"/>
        <w:ind w:left="360" w:hanging="360"/>
      </w:pPr>
      <w:r>
        <w:rPr>
          <w:rFonts w:ascii="Calibri" w:hAnsi="Calibri"/>
          <w:b/>
          <w:color w:val="525866"/>
          <w:sz w:val="22"/>
        </w:rPr>
        <w:t>June 22, 2026 — Teraco JV Interest Increase (+16%, Africa):</w:t>
      </w:r>
      <w:r>
        <w:rPr>
          <w:rFonts w:ascii="Calibri" w:hAnsi="Calibri"/>
          <w:color w:val="525866"/>
          <w:sz w:val="22"/>
        </w:rPr>
        <w:t xml:space="preserve"> DLR agreed to issue 3.43M shares to purchase ~16% of its Teraco JV from third-party partners exercising a put right, increasing DLR’s stake to 77% of Africa’s leading data center platform. Expected to close H2 2026. </w:t>
      </w:r>
      <w:r>
        <w:rPr>
          <w:rFonts w:ascii="Calibri" w:hAnsi="Calibri"/>
          <w:b/>
          <w:color w:val="525866"/>
          <w:sz w:val="22"/>
        </w:rPr>
        <w:t>Implication:</w:t>
      </w:r>
      <w:r>
        <w:rPr>
          <w:rFonts w:ascii="Calibri" w:hAnsi="Calibri"/>
          <w:color w:val="525866"/>
          <w:sz w:val="22"/>
        </w:rPr>
        <w:t xml:space="preserve"> Modest dilution; strategically deepens APAC/Africa footprint consistent with PlatformDIGITAL global expansion.</w:t>
      </w:r>
    </w:p>
    <w:p>
      <w:pPr>
        <w:pStyle w:val="ListBullet"/>
        <w:ind w:left="360" w:hanging="360"/>
      </w:pPr>
      <w:r>
        <w:rPr>
          <w:rFonts w:ascii="Calibri" w:hAnsi="Calibri"/>
          <w:b/>
          <w:color w:val="525866"/>
          <w:sz w:val="22"/>
        </w:rPr>
        <w:t>May 4, 2026 — $7.5B At-the-Market Equity Program Established:</w:t>
      </w:r>
      <w:r>
        <w:rPr>
          <w:rFonts w:ascii="Calibri" w:hAnsi="Calibri"/>
          <w:color w:val="525866"/>
          <w:sz w:val="22"/>
        </w:rPr>
        <w:t xml:space="preserve"> DLR established a new $7.5B ATM program. From April 29 through June 29, the company sold 6.16M shares for net proceeds of ~$1.2B, used to repay revolving credit facility borrowings and fund development. </w:t>
      </w:r>
      <w:r>
        <w:rPr>
          <w:rFonts w:ascii="Calibri" w:hAnsi="Calibri"/>
          <w:b/>
          <w:color w:val="525866"/>
          <w:sz w:val="22"/>
        </w:rPr>
        <w:t>Implication:</w:t>
      </w:r>
      <w:r>
        <w:rPr>
          <w:rFonts w:ascii="Calibri" w:hAnsi="Calibri"/>
          <w:color w:val="525866"/>
          <w:sz w:val="22"/>
        </w:rPr>
        <w:t xml:space="preserve"> Provides flexible, low-cost equity capital to fund the accelerating development pipeline; dilutive but consistent with the company’s stated strategy of funding growth at leverage-neutral levels.</w:t>
      </w:r>
    </w:p>
    <w:p>
      <w:pPr>
        <w:pStyle w:val="ListBullet"/>
        <w:ind w:left="360" w:hanging="360"/>
      </w:pPr>
      <w:r>
        <w:rPr>
          <w:rFonts w:ascii="Calibri" w:hAnsi="Calibri"/>
          <w:b/>
          <w:color w:val="525866"/>
          <w:sz w:val="22"/>
        </w:rPr>
        <w:t>April 30, 2026 — Astra Enterprise Park Land Acquisition (~1,440 Acres, Kansas City):</w:t>
      </w:r>
      <w:r>
        <w:rPr>
          <w:rFonts w:ascii="Calibri" w:hAnsi="Calibri"/>
          <w:color w:val="525866"/>
          <w:sz w:val="22"/>
        </w:rPr>
        <w:t xml:space="preserve"> DLR acquired ~1,440 acres near Kansas City for ~$377.6M (cash + 517K OP units), with 600 MW of utility power contracted by early 2028 and 2 GW total capacity at full build-out. </w:t>
      </w:r>
      <w:r>
        <w:rPr>
          <w:rFonts w:ascii="Calibri" w:hAnsi="Calibri"/>
          <w:b/>
          <w:color w:val="525866"/>
          <w:sz w:val="22"/>
        </w:rPr>
        <w:t>Implication:</w:t>
      </w:r>
      <w:r>
        <w:rPr>
          <w:rFonts w:ascii="Calibri" w:hAnsi="Calibri"/>
          <w:color w:val="525866"/>
          <w:sz w:val="22"/>
        </w:rPr>
        <w:t xml:space="preserve"> Extends the hyperscale land bank into a new market; power secured, reducing execution risk on this site.</w:t>
      </w:r>
    </w:p>
    <w:p>
      <w:pPr>
        <w:pStyle w:val="ListBullet"/>
        <w:ind w:left="360" w:hanging="360"/>
      </w:pPr>
      <w:r>
        <w:rPr>
          <w:rFonts w:ascii="Calibri" w:hAnsi="Calibri"/>
          <w:b/>
          <w:color w:val="525866"/>
          <w:sz w:val="22"/>
        </w:rPr>
        <w:t>June 3, 2026 — Nareit REITweek: Management Signals High-End Guidance Trajectory:</w:t>
      </w:r>
      <w:r>
        <w:rPr>
          <w:rFonts w:ascii="Calibri" w:hAnsi="Calibri"/>
          <w:color w:val="525866"/>
          <w:sz w:val="22"/>
        </w:rPr>
        <w:t xml:space="preserve"> CEO Andrew Power stated enterprise colo bookings are “approaching $100M a quarter, trending toward $400M a year in very short order” and characterized full-year Core FFO growth as “feeling closer to double digits” (above the 9% guidance midpoint). </w:t>
      </w:r>
      <w:r>
        <w:rPr>
          <w:rFonts w:ascii="Calibri" w:hAnsi="Calibri"/>
          <w:b/>
          <w:color w:val="525866"/>
          <w:sz w:val="22"/>
        </w:rPr>
        <w:t>Implication:</w:t>
      </w:r>
      <w:r>
        <w:rPr>
          <w:rFonts w:ascii="Calibri" w:hAnsi="Calibri"/>
          <w:color w:val="525866"/>
          <w:sz w:val="22"/>
        </w:rPr>
        <w:t xml:space="preserve"> Most bullish forward signal since Q1 earnings; sets up potential for a second guidance raise if Q2 bookings sustain momentum.</w:t>
      </w:r>
    </w:p>
    <w:p>
      <w:pPr>
        <w:pStyle w:val="ListBullet"/>
        <w:ind w:left="360" w:hanging="360"/>
      </w:pPr>
      <w:r>
        <w:rPr>
          <w:rFonts w:ascii="Calibri" w:hAnsi="Calibri"/>
          <w:b/>
          <w:color w:val="525866"/>
          <w:sz w:val="22"/>
        </w:rPr>
        <w:t>June 30, 2026 — Q2 2026 Earnings Scheduled:</w:t>
      </w:r>
      <w:r>
        <w:rPr>
          <w:rFonts w:ascii="Calibri" w:hAnsi="Calibri"/>
          <w:color w:val="525866"/>
          <w:sz w:val="22"/>
        </w:rPr>
        <w:t xml:space="preserve"> DLR formally scheduled Q2 2026 earnings release and conference call for July 23, 2026 (after market close).</w:t>
      </w:r>
    </w:p>
    <w:p>
      <w:pPr>
        <w:pStyle w:val="ListBullet"/>
        <w:ind w:left="360" w:hanging="360"/>
      </w:pPr>
      <w:r>
        <w:rPr>
          <w:rFonts w:ascii="Calibri" w:hAnsi="Calibri"/>
          <w:b/>
          <w:color w:val="525866"/>
          <w:sz w:val="22"/>
        </w:rPr>
        <w:t>July 12, 2026 — Data Center Community Backlash Coverage (WSJ):</w:t>
      </w:r>
      <w:r>
        <w:rPr>
          <w:rFonts w:ascii="Calibri" w:hAnsi="Calibri"/>
          <w:color w:val="525866"/>
          <w:sz w:val="22"/>
        </w:rPr>
        <w:t xml:space="preserve"> WSJ reported on growing community opposition to data center development, with architects designing facilities to resemble tech campuses or art museums to reduce NIMBYism. </w:t>
      </w:r>
      <w:r>
        <w:rPr>
          <w:rFonts w:ascii="Calibri" w:hAnsi="Calibri"/>
          <w:b/>
          <w:color w:val="525866"/>
          <w:sz w:val="22"/>
        </w:rPr>
        <w:t>Implication:</w:t>
      </w:r>
      <w:r>
        <w:rPr>
          <w:rFonts w:ascii="Calibri" w:hAnsi="Calibri"/>
          <w:color w:val="525866"/>
          <w:sz w:val="22"/>
        </w:rPr>
        <w:t xml:space="preserve"> Consistent with DLR management’s Q1 commentary flagging community relations as a new strategic communication priority; permitting and zoning risk is a real but manageable headwind for the industry.</w:t>
      </w:r>
    </w:p>
    <w:p>
      <w:pPr>
        <w:pStyle w:val="ListBullet"/>
        <w:ind w:left="360" w:hanging="360"/>
      </w:pPr>
      <w:r>
        <w:rPr>
          <w:rFonts w:ascii="Calibri" w:hAnsi="Calibri"/>
          <w:b/>
          <w:color w:val="525866"/>
          <w:sz w:val="22"/>
        </w:rPr>
        <w:t>July 14, 2026 — Equinix CBO Jon Lin Departure Announced:</w:t>
      </w:r>
      <w:r>
        <w:rPr>
          <w:rFonts w:ascii="Calibri" w:hAnsi="Calibri"/>
          <w:color w:val="525866"/>
          <w:sz w:val="22"/>
        </w:rPr>
        <w:t xml:space="preserve"> Equinix announced Chief Business Officer Jon Lin’s planned departure and leadership transition. </w:t>
      </w:r>
      <w:r>
        <w:rPr>
          <w:rFonts w:ascii="Calibri" w:hAnsi="Calibri"/>
          <w:b/>
          <w:color w:val="525866"/>
          <w:sz w:val="22"/>
        </w:rPr>
        <w:t>Implication:</w:t>
      </w:r>
      <w:r>
        <w:rPr>
          <w:rFonts w:ascii="Calibri" w:hAnsi="Calibri"/>
          <w:color w:val="525866"/>
          <w:sz w:val="22"/>
        </w:rPr>
        <w:t xml:space="preserve"> Indirect read-through — any leadership instability at EQIX could create enterprise customer switching opportunities for DLR’s 0–1 MW business.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in the period — all transactions are routine equity award grants (code A) or tax-withholding forfeitures (code F) associated with annual director compensation cycles. No insider signal, positive or negative, heading into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Jamieson VeraLinn</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153 LTI Units</w:t>
            </w:r>
          </w:p>
        </w:tc>
        <w:tc>
          <w:tcPr>
            <w:tcW w:type="dxa" w:w="1440"/>
          </w:tcPr>
          <w:p>
            <w:r>
              <w:rPr>
                <w:rFonts w:ascii="Calibri" w:hAnsi="Calibri"/>
                <w:sz w:val="22"/>
              </w:rPr>
              <w:t>Jun 30, 2026</w:t>
            </w:r>
          </w:p>
        </w:tc>
        <w:tc>
          <w:tcPr>
            <w:tcW w:type="dxa" w:w="1440"/>
          </w:tcPr>
          <w:p>
            <w:r>
              <w:rPr>
                <w:rFonts w:ascii="Calibri" w:hAnsi="Calibri"/>
                <w:sz w:val="22"/>
              </w:rPr>
              <w:t>Routine annual director equity award; not a market purchase</w:t>
            </w:r>
          </w:p>
        </w:tc>
      </w:tr>
      <w:tr>
        <w:tc>
          <w:tcPr>
            <w:tcW w:type="dxa" w:w="1440"/>
          </w:tcPr>
          <w:p>
            <w:r>
              <w:rPr>
                <w:rFonts w:ascii="Calibri" w:hAnsi="Calibri"/>
                <w:sz w:val="22"/>
              </w:rPr>
              <w:t>Swanezy Susan</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153 LTI Units</w:t>
            </w:r>
          </w:p>
        </w:tc>
        <w:tc>
          <w:tcPr>
            <w:tcW w:type="dxa" w:w="1440"/>
          </w:tcPr>
          <w:p>
            <w:r>
              <w:rPr>
                <w:rFonts w:ascii="Calibri" w:hAnsi="Calibri"/>
                <w:sz w:val="22"/>
              </w:rPr>
              <w:t>Jun 30, 2026</w:t>
            </w:r>
          </w:p>
        </w:tc>
        <w:tc>
          <w:tcPr>
            <w:tcW w:type="dxa" w:w="1440"/>
          </w:tcPr>
          <w:p>
            <w:r>
              <w:rPr>
                <w:rFonts w:ascii="Calibri" w:hAnsi="Calibri"/>
                <w:sz w:val="22"/>
              </w:rPr>
              <w:t>Routine annual director equity award; not a market purchase</w:t>
            </w:r>
          </w:p>
        </w:tc>
      </w:tr>
      <w:tr>
        <w:tc>
          <w:tcPr>
            <w:tcW w:type="dxa" w:w="1440"/>
          </w:tcPr>
          <w:p>
            <w:r>
              <w:rPr>
                <w:rFonts w:ascii="Calibri" w:hAnsi="Calibri"/>
                <w:sz w:val="22"/>
              </w:rPr>
              <w:t>Kornegay Christine Beseda</w:t>
            </w:r>
          </w:p>
        </w:tc>
        <w:tc>
          <w:tcPr>
            <w:tcW w:type="dxa" w:w="1440"/>
          </w:tcPr>
          <w:p>
            <w:r>
              <w:rPr>
                <w:rFonts w:ascii="Calibri" w:hAnsi="Calibri"/>
                <w:sz w:val="22"/>
              </w:rPr>
              <w:t>Chief Accounting Officer</w:t>
            </w:r>
          </w:p>
        </w:tc>
        <w:tc>
          <w:tcPr>
            <w:tcW w:type="dxa" w:w="1440"/>
          </w:tcPr>
          <w:p>
            <w:r>
              <w:rPr>
                <w:rFonts w:ascii="Calibri" w:hAnsi="Calibri"/>
                <w:sz w:val="22"/>
              </w:rPr>
              <w:t>Tax Withholding Forfeiture (Code F)</w:t>
            </w:r>
          </w:p>
        </w:tc>
        <w:tc>
          <w:tcPr>
            <w:tcW w:type="dxa" w:w="1440"/>
          </w:tcPr>
          <w:p>
            <w:r>
              <w:rPr>
                <w:rFonts w:ascii="Calibri" w:hAnsi="Calibri"/>
                <w:sz w:val="22"/>
              </w:rPr>
              <w:t>53 shares</w:t>
            </w:r>
          </w:p>
        </w:tc>
        <w:tc>
          <w:tcPr>
            <w:tcW w:type="dxa" w:w="1440"/>
          </w:tcPr>
          <w:p>
            <w:r>
              <w:rPr>
                <w:rFonts w:ascii="Calibri" w:hAnsi="Calibri"/>
                <w:sz w:val="22"/>
              </w:rPr>
              <w:t>Jul 1,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Bolze Stephen R.</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Jamieson VeraLinn</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Kennedy Kevin</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LaPerch William G.</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Mandeville Jean F H P</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shares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Mandeville Jean F H P</w:t>
            </w:r>
          </w:p>
        </w:tc>
        <w:tc>
          <w:tcPr>
            <w:tcW w:type="dxa" w:w="1440"/>
          </w:tcPr>
          <w:p>
            <w:r>
              <w:rPr>
                <w:rFonts w:ascii="Calibri" w:hAnsi="Calibri"/>
                <w:sz w:val="22"/>
              </w:rPr>
              <w:t>Director</w:t>
            </w:r>
          </w:p>
        </w:tc>
        <w:tc>
          <w:tcPr>
            <w:tcW w:type="dxa" w:w="1440"/>
          </w:tcPr>
          <w:p>
            <w:r>
              <w:rPr>
                <w:rFonts w:ascii="Calibri" w:hAnsi="Calibri"/>
                <w:sz w:val="22"/>
              </w:rPr>
              <w:t>Tax Withholding Forfeiture (Code F)</w:t>
            </w:r>
          </w:p>
        </w:tc>
        <w:tc>
          <w:tcPr>
            <w:tcW w:type="dxa" w:w="1440"/>
          </w:tcPr>
          <w:p>
            <w:r>
              <w:rPr>
                <w:rFonts w:ascii="Calibri" w:hAnsi="Calibri"/>
                <w:sz w:val="22"/>
              </w:rPr>
              <w:t>284 shares</w:t>
            </w:r>
          </w:p>
        </w:tc>
        <w:tc>
          <w:tcPr>
            <w:tcW w:type="dxa" w:w="1440"/>
          </w:tcPr>
          <w:p>
            <w:r>
              <w:rPr>
                <w:rFonts w:ascii="Calibri" w:hAnsi="Calibri"/>
                <w:sz w:val="22"/>
              </w:rPr>
              <w:t>May 28,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Mohebbi Afshin</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Patterson Mark R.</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Preusse Mary Hogan</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1,815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r>
        <w:tc>
          <w:tcPr>
            <w:tcW w:type="dxa" w:w="1440"/>
          </w:tcPr>
          <w:p>
            <w:r>
              <w:rPr>
                <w:rFonts w:ascii="Calibri" w:hAnsi="Calibri"/>
                <w:sz w:val="22"/>
              </w:rPr>
              <w:t>Swanezy Susan</w:t>
            </w:r>
          </w:p>
        </w:tc>
        <w:tc>
          <w:tcPr>
            <w:tcW w:type="dxa" w:w="1440"/>
          </w:tcPr>
          <w:p>
            <w:r>
              <w:rPr>
                <w:rFonts w:ascii="Calibri" w:hAnsi="Calibri"/>
                <w:sz w:val="22"/>
              </w:rPr>
              <w:t>Director</w:t>
            </w:r>
          </w:p>
        </w:tc>
        <w:tc>
          <w:tcPr>
            <w:tcW w:type="dxa" w:w="1440"/>
          </w:tcPr>
          <w:p>
            <w:r>
              <w:rPr>
                <w:rFonts w:ascii="Calibri" w:hAnsi="Calibri"/>
                <w:sz w:val="22"/>
              </w:rPr>
              <w:t>Award Grant (Code A)</w:t>
            </w:r>
          </w:p>
        </w:tc>
        <w:tc>
          <w:tcPr>
            <w:tcW w:type="dxa" w:w="1440"/>
          </w:tcPr>
          <w:p>
            <w:r>
              <w:rPr>
                <w:rFonts w:ascii="Calibri" w:hAnsi="Calibri"/>
                <w:sz w:val="22"/>
              </w:rPr>
              <w:t>1,289 LTI Units</w:t>
            </w:r>
          </w:p>
        </w:tc>
        <w:tc>
          <w:tcPr>
            <w:tcW w:type="dxa" w:w="1440"/>
          </w:tcPr>
          <w:p>
            <w:r>
              <w:rPr>
                <w:rFonts w:ascii="Calibri" w:hAnsi="Calibri"/>
                <w:sz w:val="22"/>
              </w:rPr>
              <w:t>May 29, 2026</w:t>
            </w:r>
          </w:p>
        </w:tc>
        <w:tc>
          <w:tcPr>
            <w:tcW w:type="dxa" w:w="1440"/>
          </w:tcPr>
          <w:p>
            <w:r>
              <w:rPr>
                <w:rFonts w:ascii="Calibri" w:hAnsi="Calibri"/>
                <w:sz w:val="22"/>
              </w:rPr>
              <w:t>Annual director equity grant cycle; not a market purchase</w:t>
            </w:r>
          </w:p>
        </w:tc>
      </w:tr>
    </w:tbl>
    <w:p>
      <w:r>
        <w:rPr>
          <w:rFonts w:ascii="Calibri" w:hAnsi="Calibri"/>
          <w:i/>
          <w:color w:val="525866"/>
          <w:sz w:val="22"/>
        </w:rPr>
        <w:t>All transactions are routine equity award grants (Code A) or tax-withholding forfeitures (Code F) associated with the annual director compensation cycle. There are no open-market purchases (Code P) or discretionary sales (Code S) in the period. No insider signal. Source: SEC Form 4 filings (Insider Transaction Data, SEC EDGAR).</w:t>
      </w:r>
    </w:p>
    <w:p>
      <w:r>
        <w:br w:type="page"/>
      </w:r>
    </w:p>
    <w:p>
      <w:pPr>
        <w:pStyle w:val="Heading2"/>
      </w:pPr>
      <w:r>
        <w:rPr>
          <w:rFonts w:ascii="Calibri" w:hAnsi="Calibri"/>
          <w:b/>
          <w:color w:val="3B4259"/>
          <w:sz w:val="28"/>
        </w:rPr>
        <w:t>8. Peer Commentary / Current-Quarter Read-Through (May 23 – July 22, 2026)</w:t>
      </w:r>
    </w:p>
    <w:p>
      <w:r>
        <w:rPr>
          <w:rFonts w:ascii="Calibri" w:hAnsi="Calibri"/>
          <w:b/>
          <w:color w:val="525866"/>
          <w:sz w:val="22"/>
        </w:rPr>
        <w:t xml:space="preserve">Key Takeaway: </w:t>
      </w:r>
      <w:r>
        <w:rPr>
          <w:rFonts w:ascii="Calibri" w:hAnsi="Calibri"/>
          <w:color w:val="525866"/>
          <w:sz w:val="22"/>
        </w:rPr>
        <w:t>Peer commentary from Q2 2026 is uniformly constructive on demand — Equinix confirmed 10% recurring revenue growth in both Q1 and Q2, CoreWeave sees no signs of slowdown, and Nebius characterizes the market as “selling water on a hot day in the desert.” The key risk read-through is on the supply side: construction cost inflation (labor up 20–30% YoY per Applied Digital), long equipment lead times (switchgear at 100+ weeks), and power delivery delays for large deployments (Crown Castle) are industry-wide headwinds that DLR has acknowledged but claims to be managing better than peers through scale and continuous building activity.</w:t>
      </w:r>
    </w:p>
    <w:p>
      <w:r>
        <w:rPr>
          <w:rFonts w:ascii="Calibri" w:hAnsi="Calibri"/>
          <w:i/>
          <w:color w:val="525866"/>
          <w:sz w:val="22"/>
        </w:rPr>
        <w:t>Note: All commentary below is from peers reporting on or discussing Q2 2026 conditions or forward outlook as of Q2 2026. Retrospective Q1-only commentary has been excluded. Indirect read-throughs are labeled as such.</w:t>
      </w:r>
    </w:p>
    <w:p>
      <w:pPr>
        <w:pStyle w:val="Heading3"/>
      </w:pPr>
      <w:r>
        <w:rPr>
          <w:rFonts w:ascii="Calibri" w:hAnsi="Calibri"/>
          <w:b/>
          <w:color w:val="3B4259"/>
          <w:sz w:val="24"/>
        </w:rPr>
        <w:t>Equinix (EQIX) — Nareit REITweek, June 3, 2026 (Direct Peer)</w:t>
      </w:r>
    </w:p>
    <w:p>
      <w:r>
        <w:rPr>
          <w:rFonts w:ascii="Calibri" w:hAnsi="Calibri"/>
          <w:color w:val="525866"/>
          <w:sz w:val="22"/>
        </w:rPr>
        <w:t>Demand / Bookings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 xml:space="preserve">CFO Olivier Leonetti confirmed recurring revenue grew </w:t>
      </w:r>
      <w:r>
        <w:rPr>
          <w:rFonts w:ascii="Calibri" w:hAnsi="Calibri"/>
          <w:b/>
          <w:color w:val="525866"/>
          <w:sz w:val="22"/>
        </w:rPr>
        <w:t>10% in both Q1 and Q2 2026</w:t>
      </w:r>
      <w:r>
        <w:rPr>
          <w:rFonts w:ascii="Calibri" w:hAnsi="Calibri"/>
          <w:color w:val="525866"/>
          <w:sz w:val="22"/>
        </w:rPr>
        <w:t>: “We’re going to grow recurring revenue by 10% for the year. We did that in Q1. We did that in Q2.” This is the most direct Q2 data point from a direct peer, confirming that enterprise data center demand remained robust through the quarter.</w:t>
      </w:r>
    </w:p>
    <w:p>
      <w:pPr>
        <w:pStyle w:val="ListBullet"/>
        <w:ind w:left="360" w:hanging="360"/>
      </w:pPr>
      <w:r>
        <w:rPr>
          <w:rFonts w:ascii="Calibri" w:hAnsi="Calibri"/>
          <w:color w:val="525866"/>
          <w:sz w:val="22"/>
        </w:rPr>
        <w:t>Leonetti characterized end markets as “better” and the company’s ability to compete as “better,” stating the vision is “playing out in a way which is augmented relative to what we had expected.” The AI revolution is “at the start” and “creating the need to have a diverse marketplace where players are going to meet and exchange data.”</w:t>
      </w:r>
    </w:p>
    <w:p>
      <w:pPr>
        <w:pStyle w:val="ListBullet"/>
        <w:ind w:left="360" w:hanging="360"/>
      </w:pPr>
      <w:r>
        <w:rPr>
          <w:rFonts w:ascii="Calibri" w:hAnsi="Calibri"/>
          <w:color w:val="525866"/>
          <w:sz w:val="22"/>
        </w:rPr>
        <w:t>Customer base: “Over 10,500 customers… 3,800 transactions in Q1 with over 3,100 unique customers” — emphasizing the diversified, multi-tenant model. “The demand environment. There’s room for all boats, so to speak.”</w:t>
      </w:r>
    </w:p>
    <w:p>
      <w:pPr>
        <w:pStyle w:val="ListBullet"/>
        <w:ind w:left="360" w:hanging="360"/>
      </w:pPr>
      <w:r>
        <w:rPr>
          <w:rFonts w:ascii="Calibri" w:hAnsi="Calibri"/>
          <w:color w:val="525866"/>
          <w:sz w:val="22"/>
        </w:rPr>
        <w:t>AI customer penetration: “8 of the top AI labs as part of the network” and “4 of the top 5 neo-clouds” deployed with Equinix, with “more than 110 nodes.”</w:t>
      </w:r>
    </w:p>
    <w:p>
      <w:r>
        <w:rPr>
          <w:rFonts w:ascii="Calibri" w:hAnsi="Calibri"/>
          <w:color w:val="525866"/>
          <w:sz w:val="22"/>
        </w:rPr>
        <w:t>Capacity / Power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 xml:space="preserve">Equinix reported </w:t>
      </w:r>
      <w:r>
        <w:rPr>
          <w:rFonts w:ascii="Calibri" w:hAnsi="Calibri"/>
          <w:b/>
          <w:color w:val="525866"/>
          <w:sz w:val="22"/>
        </w:rPr>
        <w:t>no power delivery delays</w:t>
      </w:r>
      <w:r>
        <w:rPr>
          <w:rFonts w:ascii="Calibri" w:hAnsi="Calibri"/>
          <w:color w:val="525866"/>
          <w:sz w:val="22"/>
        </w:rPr>
        <w:t>: “We have not experienced any delay. If anything, our team has been able to accelerate the launch of data centers. So we have been largely immune from those constraints.”</w:t>
      </w:r>
    </w:p>
    <w:p>
      <w:pPr>
        <w:pStyle w:val="ListBullet"/>
        <w:ind w:left="360" w:hanging="360"/>
      </w:pPr>
      <w:r>
        <w:rPr>
          <w:rFonts w:ascii="Calibri" w:hAnsi="Calibri"/>
          <w:color w:val="525866"/>
          <w:sz w:val="22"/>
        </w:rPr>
        <w:t>Land and power secured for 5 years: “We have access for the next 5 years to more land, power, water, power management equipment than we need.” 3 GW of land under control with fully contracted power agreements or high-confidence late-stage agreements.</w:t>
      </w:r>
    </w:p>
    <w:p>
      <w:pPr>
        <w:pStyle w:val="ListBullet"/>
        <w:ind w:left="360" w:hanging="360"/>
      </w:pPr>
      <w:r>
        <w:rPr>
          <w:rFonts w:ascii="Calibri" w:hAnsi="Calibri"/>
          <w:color w:val="525866"/>
          <w:sz w:val="22"/>
        </w:rPr>
        <w:t>Density inflection: Average rack density at Equinix is 5 kW, but “racks which are 100-kilowatt plus” are live in the network today. “In Q1, the increase in density went up by 36%.”</w:t>
      </w:r>
    </w:p>
    <w:p>
      <w:r>
        <w:rPr>
          <w:rFonts w:ascii="Calibri" w:hAnsi="Calibri"/>
          <w:b/>
          <w:color w:val="525866"/>
          <w:sz w:val="22"/>
        </w:rPr>
        <w:t xml:space="preserve">DLR Read-Through: </w:t>
      </w:r>
      <w:r>
        <w:rPr>
          <w:rFonts w:ascii="Calibri" w:hAnsi="Calibri"/>
          <w:color w:val="525866"/>
          <w:sz w:val="22"/>
        </w:rPr>
        <w:t>Equinix’s Q2 revenue confirmation is the strongest direct data point for DLR’s Q2 demand environment. The “room for all boats” framing and the AI customer penetration data suggest enterprise colo demand is broad-based and not zero-sum. Equinix’s power access advantage (no delays, 5-year runway) is a potential competitive differentiator vs. DLR, but DLR’s scale and continuous building activity have historically allowed it to manage similar constraints.</w:t>
      </w:r>
    </w:p>
    <w:p>
      <w:pPr>
        <w:pStyle w:val="Heading3"/>
      </w:pPr>
      <w:r>
        <w:rPr>
          <w:rFonts w:ascii="Calibri" w:hAnsi="Calibri"/>
          <w:b/>
          <w:color w:val="3B4259"/>
          <w:sz w:val="24"/>
        </w:rPr>
        <w:t>CoreWeave (CRWV) — Bank of America Global Technology Conference, June 3, 2026 (Indirect — AI Cloud Customer / Demand Signal)</w:t>
      </w:r>
    </w:p>
    <w:p>
      <w:r>
        <w:rPr>
          <w:rFonts w:ascii="Calibri" w:hAnsi="Calibri"/>
          <w:color w:val="525866"/>
          <w:sz w:val="22"/>
        </w:rPr>
        <w:t>Demand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Executive Nicholas Robbins: “I don’t see the sign of slowdown” in the GPU data center cycle. Customers are explicitly communicating “this is not going to slow down.” Google raising $40B cited as a leading indicator of sustained hyperscaler commitment.</w:t>
      </w:r>
    </w:p>
    <w:p>
      <w:pPr>
        <w:pStyle w:val="ListBullet"/>
        <w:ind w:left="360" w:hanging="360"/>
      </w:pPr>
      <w:r>
        <w:rPr>
          <w:rFonts w:ascii="Calibri" w:hAnsi="Calibri"/>
          <w:color w:val="525866"/>
          <w:sz w:val="22"/>
        </w:rPr>
        <w:t>Enterprise adoption accelerating: “We are seeing it show up in our pipeline with a long tail of enterprise customers who want to consume this technology directly.” In Q1, 10% of CoreWeave’s $100B revenue backlog was financial services companies alone (“close to $10B of enterprise within a single vertical”).</w:t>
      </w:r>
    </w:p>
    <w:p>
      <w:pPr>
        <w:pStyle w:val="ListBullet"/>
        <w:ind w:left="360" w:hanging="360"/>
      </w:pPr>
      <w:r>
        <w:rPr>
          <w:rFonts w:ascii="Calibri" w:hAnsi="Calibri"/>
          <w:color w:val="525866"/>
          <w:sz w:val="22"/>
        </w:rPr>
        <w:t>Customer diversification: Microsoft was 85% of revenue backlog at IPO; “today, they’re not even our largest customer… not even our second largest customer” — signals broad-based hyperscaler and enterprise demand.</w:t>
      </w:r>
    </w:p>
    <w:p>
      <w:r>
        <w:rPr>
          <w:rFonts w:ascii="Calibri" w:hAnsi="Calibri"/>
          <w:color w:val="525866"/>
          <w:sz w:val="22"/>
        </w:rPr>
        <w:t>Capacity / Power (</w:t>
      </w:r>
      <w:r>
        <w:rPr>
          <w:rFonts w:ascii="Calibri" w:hAnsi="Calibri"/>
          <w:b/>
          <w:color w:val="525866"/>
          <w:sz w:val="22"/>
        </w:rPr>
        <w:t>Mixed read-through</w:t>
      </w:r>
      <w:r>
        <w:rPr>
          <w:rFonts w:ascii="Calibri" w:hAnsi="Calibri"/>
          <w:color w:val="525866"/>
          <w:sz w:val="22"/>
        </w:rPr>
        <w:t>):</w:t>
      </w:r>
    </w:p>
    <w:p>
      <w:pPr>
        <w:pStyle w:val="ListBullet"/>
        <w:ind w:left="360" w:hanging="360"/>
      </w:pPr>
      <w:r>
        <w:rPr>
          <w:rFonts w:ascii="Calibri" w:hAnsi="Calibri"/>
          <w:color w:val="525866"/>
          <w:sz w:val="22"/>
        </w:rPr>
        <w:t>CoreWeave operating at “more than 1 GW of active power” with “close to 50 data centers online” as of end of Q1. Unique capability to convert a “power shell” into an AI supercomputer in “6 weeks” vs. “3 to 6 months” for most operators.</w:t>
      </w:r>
    </w:p>
    <w:p>
      <w:pPr>
        <w:pStyle w:val="ListBullet"/>
        <w:ind w:left="360" w:hanging="360"/>
      </w:pPr>
      <w:r>
        <w:rPr>
          <w:rFonts w:ascii="Calibri" w:hAnsi="Calibri"/>
          <w:color w:val="525866"/>
          <w:sz w:val="22"/>
        </w:rPr>
        <w:t>Acknowledged industry-wide construction delays: “Half of the companies that tell you they’re going to build data centers, they’re not going to make it on time.” CoreWeave itself disclosed on its Q3 earnings call that one development partner was delayed, impacting Q4.</w:t>
      </w:r>
    </w:p>
    <w:p>
      <w:pPr>
        <w:pStyle w:val="ListBullet"/>
        <w:ind w:left="360" w:hanging="360"/>
      </w:pPr>
      <w:r>
        <w:rPr>
          <w:rFonts w:ascii="Calibri" w:hAnsi="Calibri"/>
          <w:color w:val="525866"/>
          <w:sz w:val="22"/>
        </w:rPr>
        <w:t>Increasing need for storage and CPU alongside GPU: “The attach rate or the ratio of the CPU to GPU will go up. The necessity for storage, right, and keeping data close to the GPUs will go up.”</w:t>
      </w:r>
    </w:p>
    <w:p>
      <w:r>
        <w:rPr>
          <w:rFonts w:ascii="Calibri" w:hAnsi="Calibri"/>
          <w:color w:val="525866"/>
          <w:sz w:val="22"/>
        </w:rPr>
        <w:t>Pricing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Hopper and Ampere GPU pricing “has gone up pretty consistently over the past few months.” Shorter-dated contracts command “a higher margin, a higher ASP.” Cost increases passed through to customers.</w:t>
      </w:r>
    </w:p>
    <w:p>
      <w:pPr>
        <w:pStyle w:val="ListBullet"/>
        <w:ind w:left="360" w:hanging="360"/>
      </w:pPr>
      <w:r>
        <w:rPr>
          <w:rFonts w:ascii="Calibri" w:hAnsi="Calibri"/>
          <w:color w:val="525866"/>
          <w:sz w:val="22"/>
        </w:rPr>
        <w:t>Hyperscale yields: 5-year take-or-pay contracts generate “mid-20s contribution margin”; shorter-dated and spot capacity commands higher pricing.</w:t>
      </w:r>
    </w:p>
    <w:p>
      <w:r>
        <w:rPr>
          <w:rFonts w:ascii="Calibri" w:hAnsi="Calibri"/>
          <w:b/>
          <w:color w:val="525866"/>
          <w:sz w:val="22"/>
        </w:rPr>
        <w:t xml:space="preserve">DLR Read-Through (Indirect): </w:t>
      </w:r>
      <w:r>
        <w:rPr>
          <w:rFonts w:ascii="Calibri" w:hAnsi="Calibri"/>
          <w:color w:val="525866"/>
          <w:sz w:val="22"/>
        </w:rPr>
        <w:t>CoreWeave is a major consumer of wholesale data center capacity and a signal of hyperscaler/neo-cloud demand health. The sustained demand, enterprise adoption acceleration, and pricing power commentary are all positive for DLR’s &gt;1 MW leasing pipeline. The construction delay acknowledgment is a risk flag — DLR’s 1.2 GW development pipeline is exposed to similar execution risks, though management has cited scale advantages. The increasing storage and CPU demand is a positive for DLR’s colocation and interconnection business.</w:t>
      </w:r>
    </w:p>
    <w:p>
      <w:pPr>
        <w:pStyle w:val="Heading3"/>
      </w:pPr>
      <w:r>
        <w:rPr>
          <w:rFonts w:ascii="Calibri" w:hAnsi="Calibri"/>
          <w:b/>
          <w:color w:val="3B4259"/>
          <w:sz w:val="24"/>
        </w:rPr>
        <w:t>Nebius Group (NBIS) — Bank of America Global Technology Conference, June 3, 2026 (Indirect — AI Infrastructure Demand Signal)</w:t>
      </w:r>
    </w:p>
    <w:p>
      <w:r>
        <w:rPr>
          <w:rFonts w:ascii="Calibri" w:hAnsi="Calibri"/>
          <w:color w:val="525866"/>
          <w:sz w:val="22"/>
        </w:rPr>
        <w:t>Demand (</w:t>
      </w:r>
      <w:r>
        <w:rPr>
          <w:rFonts w:ascii="Calibri" w:hAnsi="Calibri"/>
          <w:b/>
          <w:color w:val="30A46C"/>
          <w:sz w:val="22"/>
        </w:rPr>
        <w:t>Strongly positive read-through</w:t>
      </w:r>
      <w:r>
        <w:rPr>
          <w:rFonts w:ascii="Calibri" w:hAnsi="Calibri"/>
          <w:color w:val="525866"/>
          <w:sz w:val="22"/>
        </w:rPr>
        <w:t>):</w:t>
      </w:r>
    </w:p>
    <w:p>
      <w:pPr>
        <w:pStyle w:val="ListBullet"/>
        <w:ind w:left="360" w:hanging="360"/>
      </w:pPr>
      <w:r>
        <w:rPr>
          <w:rFonts w:ascii="Calibri" w:hAnsi="Calibri"/>
          <w:color w:val="525866"/>
          <w:sz w:val="22"/>
        </w:rPr>
        <w:t>Management characterized the current market as “selling water on a hot day in the desert, in the middle of the day” — the most emphatic demand characterization in the peer set.</w:t>
      </w:r>
    </w:p>
    <w:p>
      <w:pPr>
        <w:pStyle w:val="ListBullet"/>
        <w:ind w:left="360" w:hanging="360"/>
      </w:pPr>
      <w:r>
        <w:rPr>
          <w:rFonts w:ascii="Calibri" w:hAnsi="Calibri"/>
          <w:color w:val="525866"/>
          <w:sz w:val="22"/>
        </w:rPr>
        <w:t>Inference is “the fastest or fast-growing segment” and “agentic workloads… we can expect that they will continue to grow.” This directly validates DLR’s Q1 narrative that agentic AI is the next demand inflection (5–30x token-per-task multiplier).</w:t>
      </w:r>
    </w:p>
    <w:p>
      <w:pPr>
        <w:pStyle w:val="ListBullet"/>
        <w:ind w:left="360" w:hanging="360"/>
      </w:pPr>
      <w:r>
        <w:rPr>
          <w:rFonts w:ascii="Calibri" w:hAnsi="Calibri"/>
          <w:color w:val="525866"/>
          <w:sz w:val="22"/>
        </w:rPr>
        <w:t>Competition for resources: “We have 3, 4 customers for each GPU competing together” — demand is outstripping supply, allowing providers to be selective on customer quality and economics.</w:t>
      </w:r>
    </w:p>
    <w:p>
      <w:r>
        <w:rPr>
          <w:rFonts w:ascii="Calibri" w:hAnsi="Calibri"/>
          <w:color w:val="525866"/>
          <w:sz w:val="22"/>
        </w:rPr>
        <w:t>Capacity / Power (</w:t>
      </w:r>
      <w:r>
        <w:rPr>
          <w:rFonts w:ascii="Calibri" w:hAnsi="Calibri"/>
          <w:b/>
          <w:color w:val="E5484D"/>
          <w:sz w:val="22"/>
        </w:rPr>
        <w:t>Risk read-through</w:t>
      </w:r>
      <w:r>
        <w:rPr>
          <w:rFonts w:ascii="Calibri" w:hAnsi="Calibri"/>
          <w:color w:val="525866"/>
          <w:sz w:val="22"/>
        </w:rPr>
        <w:t>):</w:t>
      </w:r>
    </w:p>
    <w:p>
      <w:pPr>
        <w:pStyle w:val="ListBullet"/>
        <w:ind w:left="360" w:hanging="360"/>
      </w:pPr>
      <w:r>
        <w:rPr>
          <w:rFonts w:ascii="Calibri" w:hAnsi="Calibri"/>
          <w:color w:val="525866"/>
          <w:sz w:val="22"/>
        </w:rPr>
        <w:t>Primary constraint is “data centers connected and ready to bring GPUs online” — not GPU supply. Nebius is moving to self-build from late 2026/2027, which could reduce third-party wholesale demand over time but confirms near-term tightness.</w:t>
      </w:r>
    </w:p>
    <w:p>
      <w:pPr>
        <w:pStyle w:val="ListBullet"/>
        <w:ind w:left="360" w:hanging="360"/>
      </w:pPr>
      <w:r>
        <w:rPr>
          <w:rFonts w:ascii="Calibri" w:hAnsi="Calibri"/>
          <w:color w:val="525866"/>
          <w:sz w:val="22"/>
        </w:rPr>
        <w:t>Inference is a “distributed workload” allowing flexible management across regions and timing — positive for DLR’s multi-market platform.</w:t>
      </w:r>
    </w:p>
    <w:p>
      <w:r>
        <w:rPr>
          <w:rFonts w:ascii="Calibri" w:hAnsi="Calibri"/>
          <w:color w:val="525866"/>
          <w:sz w:val="22"/>
        </w:rPr>
        <w:t>Pricing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“Obviously, we know that the prices are growing.” Supply-demand imbalance is “much more strong factor” than cost structure in driving pricing. Spot capacity commands a premium for immediate availability.</w:t>
      </w:r>
    </w:p>
    <w:p>
      <w:pPr>
        <w:pStyle w:val="ListBullet"/>
        <w:ind w:left="360" w:hanging="360"/>
      </w:pPr>
      <w:r>
        <w:rPr>
          <w:rFonts w:ascii="Calibri" w:hAnsi="Calibri"/>
          <w:color w:val="525866"/>
          <w:sz w:val="22"/>
        </w:rPr>
        <w:t>Diversified customer base “gives you a very significant push of your market margins” — consistent with DLR’s strategy of growing the 0–1 MW enterprise colo base alongside hyperscale.</w:t>
      </w:r>
    </w:p>
    <w:p>
      <w:r>
        <w:rPr>
          <w:rFonts w:ascii="Calibri" w:hAnsi="Calibri"/>
          <w:b/>
          <w:color w:val="525866"/>
          <w:sz w:val="22"/>
        </w:rPr>
        <w:t xml:space="preserve">DLR Read-Through (Indirect): </w:t>
      </w:r>
      <w:r>
        <w:rPr>
          <w:rFonts w:ascii="Calibri" w:hAnsi="Calibri"/>
          <w:color w:val="525866"/>
          <w:sz w:val="22"/>
        </w:rPr>
        <w:t>Nebius’s commentary is the most bullish demand signal in the peer set for DLR’s inference-oriented capacity. The agentic AI demand multiplier thesis directly mirrors DLR management’s Q1 commentary. The move toward self-build is a medium-term risk to wholesale demand but is not a Q2 factor. Pricing power and margin expansion from customer diversification are consistent with DLR’s enterprise colo strategy.</w:t>
      </w:r>
    </w:p>
    <w:p>
      <w:pPr>
        <w:pStyle w:val="Heading3"/>
      </w:pPr>
      <w:r>
        <w:rPr>
          <w:rFonts w:ascii="Calibri" w:hAnsi="Calibri"/>
          <w:b/>
          <w:color w:val="3B4259"/>
          <w:sz w:val="24"/>
        </w:rPr>
        <w:t>Applied Digital / CORZ — TD Cowen TMT Conference, May 28, 2026 (Indirect — Hyperscale Development Cost &amp; Supply Signal)</w:t>
      </w:r>
    </w:p>
    <w:p>
      <w:r>
        <w:rPr>
          <w:rFonts w:ascii="Calibri" w:hAnsi="Calibri"/>
          <w:color w:val="525866"/>
          <w:sz w:val="22"/>
        </w:rPr>
        <w:t>Demand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Hyperscalers “executing a lot of demand through neo clouds in Q3 and Q4 of last year, realizing they have a larger structural demand” and have “come into the market very strong.” Demand visibility extends through 2028–2029.</w:t>
      </w:r>
    </w:p>
    <w:p>
      <w:pPr>
        <w:pStyle w:val="ListBullet"/>
        <w:ind w:left="360" w:hanging="360"/>
      </w:pPr>
      <w:r>
        <w:rPr>
          <w:rFonts w:ascii="Calibri" w:hAnsi="Calibri"/>
          <w:color w:val="525866"/>
          <w:sz w:val="22"/>
        </w:rPr>
        <w:t>Shift in hyperscaler power procurement: behind-the-meter allowance moving from “hard cap in the very low double digits” to “greater than 50%” — signals hyperscalers are becoming more flexible on power sourcing, which could accelerate DLR’s ability to secure power for large developments.</w:t>
      </w:r>
    </w:p>
    <w:p>
      <w:r>
        <w:rPr>
          <w:rFonts w:ascii="Calibri" w:hAnsi="Calibri"/>
          <w:color w:val="525866"/>
          <w:sz w:val="22"/>
        </w:rPr>
        <w:t>Construction Costs (</w:t>
      </w:r>
      <w:r>
        <w:rPr>
          <w:rFonts w:ascii="Calibri" w:hAnsi="Calibri"/>
          <w:b/>
          <w:color w:val="E5484D"/>
          <w:sz w:val="22"/>
        </w:rPr>
        <w:t>Risk read-through</w:t>
      </w:r>
      <w:r>
        <w:rPr>
          <w:rFonts w:ascii="Calibri" w:hAnsi="Calibri"/>
          <w:color w:val="525866"/>
          <w:sz w:val="22"/>
        </w:rPr>
        <w:t>):</w:t>
      </w:r>
    </w:p>
    <w:p>
      <w:pPr>
        <w:pStyle w:val="ListBullet"/>
        <w:ind w:left="360" w:hanging="360"/>
      </w:pPr>
      <w:r>
        <w:rPr>
          <w:rFonts w:ascii="Calibri" w:hAnsi="Calibri"/>
          <w:color w:val="525866"/>
          <w:sz w:val="22"/>
        </w:rPr>
        <w:t>Labor inflation: “20% nearly across the board, 30% on electricians” year-over-year. Labor now “closer to 40% or higher” of overall build cost, up from 30%.</w:t>
      </w:r>
    </w:p>
    <w:p>
      <w:pPr>
        <w:pStyle w:val="ListBullet"/>
        <w:ind w:left="360" w:hanging="360"/>
      </w:pPr>
      <w:r>
        <w:rPr>
          <w:rFonts w:ascii="Calibri" w:hAnsi="Calibri"/>
          <w:color w:val="525866"/>
          <w:sz w:val="22"/>
        </w:rPr>
        <w:t>Overall build costs: “Now touching $11.5–12M per megawatt” vs. “$8M a megawatt a few years ago.” DLR has separately disclosed its pipeline cost has risen to ~$14M/MW, above Applied Digital’s figure, suggesting DLR’s premium markets (NoVA, Charlotte) carry higher land and labor costs.</w:t>
      </w:r>
    </w:p>
    <w:p>
      <w:pPr>
        <w:pStyle w:val="ListBullet"/>
        <w:ind w:left="360" w:hanging="360"/>
      </w:pPr>
      <w:r>
        <w:rPr>
          <w:rFonts w:ascii="Calibri" w:hAnsi="Calibri"/>
          <w:color w:val="525866"/>
          <w:sz w:val="22"/>
        </w:rPr>
        <w:t>Equipment lead times: Switchgear at “100 weekly times” (i.e., ~100-week lead times); gensets at 14-month delivery timelines. Applied Digital has been “pre-buying a significant amount of capacity in the medium voltage side” to mitigate.</w:t>
      </w:r>
    </w:p>
    <w:p>
      <w:pPr>
        <w:pStyle w:val="ListBullet"/>
        <w:ind w:left="360" w:hanging="360"/>
      </w:pPr>
      <w:r>
        <w:rPr>
          <w:rFonts w:ascii="Calibri" w:hAnsi="Calibri"/>
          <w:color w:val="525866"/>
          <w:sz w:val="22"/>
        </w:rPr>
        <w:t>Design changes: “Significant amount of design changes coming down the pipe” (e.g., 800V architecture for 2028 deliveries, stripping out UPS) could reduce costs “closer to $10M over the coming years” but require near-term investment.</w:t>
      </w:r>
    </w:p>
    <w:p>
      <w:r>
        <w:rPr>
          <w:rFonts w:ascii="Calibri" w:hAnsi="Calibri"/>
          <w:color w:val="525866"/>
          <w:sz w:val="22"/>
        </w:rPr>
        <w:t>Pricing (</w:t>
      </w:r>
      <w:r>
        <w:rPr>
          <w:rFonts w:ascii="Calibri" w:hAnsi="Calibri"/>
          <w:b/>
          <w:color w:val="525866"/>
          <w:sz w:val="22"/>
        </w:rPr>
        <w:t>Cautionary read-through</w:t>
      </w:r>
      <w:r>
        <w:rPr>
          <w:rFonts w:ascii="Calibri" w:hAnsi="Calibri"/>
          <w:color w:val="525866"/>
          <w:sz w:val="22"/>
        </w:rPr>
        <w:t>):</w:t>
      </w:r>
    </w:p>
    <w:p>
      <w:pPr>
        <w:pStyle w:val="ListBullet"/>
        <w:ind w:left="360" w:hanging="360"/>
      </w:pPr>
      <w:r>
        <w:rPr>
          <w:rFonts w:ascii="Calibri" w:hAnsi="Calibri"/>
          <w:color w:val="525866"/>
          <w:sz w:val="22"/>
        </w:rPr>
        <w:t>Hyperscale yields expected to “come down to probably 12–14%”; hyperscalers “comfortable with giving a 10% unlevered yield on costs” at the “highest end.” DLR’s Q1 disclosure of 11.4% average expected yield on its development pipeline is consistent with this range but leaves limited margin for cost overruns.</w:t>
      </w:r>
    </w:p>
    <w:p>
      <w:pPr>
        <w:pStyle w:val="ListBullet"/>
        <w:ind w:left="360" w:hanging="360"/>
      </w:pPr>
      <w:r>
        <w:rPr>
          <w:rFonts w:ascii="Calibri" w:hAnsi="Calibri"/>
          <w:color w:val="525866"/>
          <w:sz w:val="22"/>
        </w:rPr>
        <w:t>Neo-cloud deals offer “high teens” yields but require credit wraps or backstops for non-investment-grade customers — DLR’s investment-grade counterparty focus limits exposure to this higher-risk segment.</w:t>
      </w:r>
    </w:p>
    <w:p>
      <w:r>
        <w:rPr>
          <w:rFonts w:ascii="Calibri" w:hAnsi="Calibri"/>
          <w:b/>
          <w:color w:val="525866"/>
          <w:sz w:val="22"/>
        </w:rPr>
        <w:t xml:space="preserve">DLR Read-Through (Indirect): </w:t>
      </w:r>
      <w:r>
        <w:rPr>
          <w:rFonts w:ascii="Calibri" w:hAnsi="Calibri"/>
          <w:color w:val="525866"/>
          <w:sz w:val="22"/>
        </w:rPr>
        <w:t>Applied Digital’s commentary is the most important risk read-through in the peer set. The construction cost inflation data (labor +20–30% YoY, build costs at $11.5–12M/MW) validates DLR’s own disclosure of ~$14M/MW pipeline costs and confirms this is an industry-wide dynamic. The 100-week switchgear lead times are a direct execution risk for DLR’s 1.2 GW development pipeline — management’s claim of outperforming peers on cost management through scale and continuous building activity will be tested as the pipeline ramps. The hyperscale yield compression toward 10–14% is a margin risk if DLR’s development costs continue to rise.</w:t>
      </w:r>
    </w:p>
    <w:p>
      <w:pPr>
        <w:pStyle w:val="Heading3"/>
      </w:pPr>
      <w:r>
        <w:rPr>
          <w:rFonts w:ascii="Calibri" w:hAnsi="Calibri"/>
          <w:b/>
          <w:color w:val="3B4259"/>
          <w:sz w:val="24"/>
        </w:rPr>
        <w:t>Crown Castle (CCI) — Q2 2026 Earnings Call, July 22, 2026 (Indirect — Infrastructure Demand &amp; Power Constraints)</w:t>
      </w:r>
    </w:p>
    <w:p>
      <w:r>
        <w:rPr>
          <w:rFonts w:ascii="Calibri" w:hAnsi="Calibri"/>
          <w:color w:val="525866"/>
          <w:sz w:val="22"/>
        </w:rPr>
        <w:t>Data Center Demand / AI Infrastructure (</w:t>
      </w:r>
      <w:r>
        <w:rPr>
          <w:rFonts w:ascii="Calibri" w:hAnsi="Calibri"/>
          <w:b/>
          <w:color w:val="30A46C"/>
          <w:sz w:val="22"/>
        </w:rPr>
        <w:t>Positive read-through</w:t>
      </w:r>
      <w:r>
        <w:rPr>
          <w:rFonts w:ascii="Calibri" w:hAnsi="Calibri"/>
          <w:color w:val="525866"/>
          <w:sz w:val="22"/>
        </w:rPr>
        <w:t>):</w:t>
      </w:r>
    </w:p>
    <w:p>
      <w:pPr>
        <w:pStyle w:val="ListBullet"/>
        <w:ind w:left="360" w:hanging="360"/>
      </w:pPr>
      <w:r>
        <w:rPr>
          <w:rFonts w:ascii="Calibri" w:hAnsi="Calibri"/>
          <w:color w:val="525866"/>
          <w:sz w:val="22"/>
        </w:rPr>
        <w:t>CEO Chris Hildebrandt cited “increasing deployment of edge compute infrastructure” and “growing interest in how our portfolio can support distributed compute deployments.” “The edge opportunity is gaining momentum as demand for storage and compute continues to accelerate.”</w:t>
      </w:r>
    </w:p>
    <w:p>
      <w:pPr>
        <w:pStyle w:val="ListBullet"/>
        <w:ind w:left="360" w:hanging="360"/>
      </w:pPr>
      <w:r>
        <w:rPr>
          <w:rFonts w:ascii="Calibri" w:hAnsi="Calibri"/>
          <w:color w:val="525866"/>
          <w:sz w:val="22"/>
        </w:rPr>
        <w:t>AI demand driver: U.S. mobile data consumption per smartphone expected to “more than double over the next five years, from 25 to 52 gigabits per month, driven in part by AI-enabled applications.” Agentic AI systems cited as a demand driver.</w:t>
      </w:r>
    </w:p>
    <w:p>
      <w:pPr>
        <w:pStyle w:val="ListBullet"/>
        <w:ind w:left="360" w:hanging="360"/>
      </w:pPr>
      <w:r>
        <w:rPr>
          <w:rFonts w:ascii="Calibri" w:hAnsi="Calibri"/>
          <w:color w:val="525866"/>
          <w:sz w:val="22"/>
        </w:rPr>
        <w:t>Cited an estimate of “something like a 15-year backlog of data center demand versus what the data center companies could currently actually deliver” — the most bullish demand-supply characterization in the peer set.</w:t>
      </w:r>
    </w:p>
    <w:p>
      <w:r>
        <w:rPr>
          <w:rFonts w:ascii="Calibri" w:hAnsi="Calibri"/>
          <w:color w:val="525866"/>
          <w:sz w:val="22"/>
        </w:rPr>
        <w:t>Power / Construction Constraints (</w:t>
      </w:r>
      <w:r>
        <w:rPr>
          <w:rFonts w:ascii="Calibri" w:hAnsi="Calibri"/>
          <w:b/>
          <w:color w:val="E5484D"/>
          <w:sz w:val="22"/>
        </w:rPr>
        <w:t>Risk read-through</w:t>
      </w:r>
      <w:r>
        <w:rPr>
          <w:rFonts w:ascii="Calibri" w:hAnsi="Calibri"/>
          <w:color w:val="525866"/>
          <w:sz w:val="22"/>
        </w:rPr>
        <w:t>):</w:t>
      </w:r>
    </w:p>
    <w:p>
      <w:pPr>
        <w:pStyle w:val="ListBullet"/>
        <w:ind w:left="360" w:hanging="360"/>
      </w:pPr>
      <w:r>
        <w:rPr>
          <w:rFonts w:ascii="Calibri" w:hAnsi="Calibri"/>
          <w:color w:val="525866"/>
          <w:sz w:val="22"/>
        </w:rPr>
        <w:t>“Many large data center deployments face multi-year construction and power delivery delays” — a direct risk flag for DLR’s 1.2 GW development pipeline, particularly the Charlotte and Atlanta developments that are in early construction phases.</w:t>
      </w:r>
    </w:p>
    <w:p>
      <w:pPr>
        <w:pStyle w:val="ListBullet"/>
        <w:ind w:left="360" w:hanging="360"/>
      </w:pPr>
      <w:r>
        <w:rPr>
          <w:rFonts w:ascii="Calibri" w:hAnsi="Calibri"/>
          <w:color w:val="525866"/>
          <w:sz w:val="22"/>
        </w:rPr>
        <w:t>Three-phase power supply chain: “Might take a little longer… it’s more a supply chain thing with power companies.” Consistent with Applied Digital’s 100-week switchgear lead time commentary.</w:t>
      </w:r>
    </w:p>
    <w:p>
      <w:pPr>
        <w:pStyle w:val="ListBullet"/>
        <w:ind w:left="360" w:hanging="360"/>
      </w:pPr>
      <w:r>
        <w:rPr>
          <w:rFonts w:ascii="Calibri" w:hAnsi="Calibri"/>
          <w:color w:val="525866"/>
          <w:sz w:val="22"/>
        </w:rPr>
        <w:t>Permitting and zoning: Data centers are “having some of the same challenges that tower companies did in the decades past — namely getting the leasing, zoning and permitting of these facilities, in addition to power delivery.”</w:t>
      </w:r>
    </w:p>
    <w:p>
      <w:r>
        <w:rPr>
          <w:rFonts w:ascii="Calibri" w:hAnsi="Calibri"/>
          <w:b/>
          <w:color w:val="525866"/>
          <w:sz w:val="22"/>
        </w:rPr>
        <w:t xml:space="preserve">DLR Read-Through (Indirect): </w:t>
      </w:r>
      <w:r>
        <w:rPr>
          <w:rFonts w:ascii="Calibri" w:hAnsi="Calibri"/>
          <w:color w:val="525866"/>
          <w:sz w:val="22"/>
        </w:rPr>
        <w:t>Crown Castle’s “15-year backlog” characterization is the most extreme demand-supply imbalance framing in the peer set and is unambiguously positive for DLR’s pricing power and leasing pipeline. The power delivery delay commentary is a risk flag that DLR management will need to address on the Q2 call, particularly for the Charlotte lease (200 MW, just broke ground, phased delivery through 2028) and the Atlanta development.</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Source / Date</w:t>
            </w:r>
          </w:p>
        </w:tc>
        <w:tc>
          <w:tcPr>
            <w:tcW w:type="dxa" w:w="1440"/>
            <w:shd w:val="clear" w:color="auto" w:fill="3B4259"/>
          </w:tcPr>
          <w:p>
            <w:r>
              <w:rPr>
                <w:rFonts w:ascii="Calibri" w:hAnsi="Calibri"/>
                <w:b/>
                <w:color w:val="FFFFFF"/>
                <w:sz w:val="22"/>
              </w:rPr>
              <w:t>Type</w:t>
            </w:r>
          </w:p>
        </w:tc>
        <w:tc>
          <w:tcPr>
            <w:tcW w:type="dxa" w:w="1440"/>
            <w:shd w:val="clear" w:color="auto" w:fill="3B4259"/>
          </w:tcPr>
          <w:p>
            <w:r>
              <w:rPr>
                <w:rFonts w:ascii="Calibri" w:hAnsi="Calibri"/>
                <w:b/>
                <w:color w:val="FFFFFF"/>
                <w:sz w:val="22"/>
              </w:rPr>
              <w:t>Demand Signal</w:t>
            </w:r>
          </w:p>
        </w:tc>
        <w:tc>
          <w:tcPr>
            <w:tcW w:type="dxa" w:w="1440"/>
            <w:shd w:val="clear" w:color="auto" w:fill="3B4259"/>
          </w:tcPr>
          <w:p>
            <w:r>
              <w:rPr>
                <w:rFonts w:ascii="Calibri" w:hAnsi="Calibri"/>
                <w:b/>
                <w:color w:val="FFFFFF"/>
                <w:sz w:val="22"/>
              </w:rPr>
              <w:t>Key Risk Read-Through</w:t>
            </w:r>
          </w:p>
        </w:tc>
        <w:tc>
          <w:tcPr>
            <w:tcW w:type="dxa" w:w="1440"/>
            <w:shd w:val="clear" w:color="auto" w:fill="3B4259"/>
          </w:tcPr>
          <w:p>
            <w:r>
              <w:rPr>
                <w:rFonts w:ascii="Calibri" w:hAnsi="Calibri"/>
                <w:b/>
                <w:color w:val="FFFFFF"/>
                <w:sz w:val="22"/>
              </w:rPr>
              <w:t>Net DLR Implication</w:t>
            </w:r>
          </w:p>
        </w:tc>
      </w:tr>
      <w:tr>
        <w:tc>
          <w:tcPr>
            <w:tcW w:type="dxa" w:w="1440"/>
          </w:tcPr>
          <w:p>
            <w:r>
              <w:rPr>
                <w:rFonts w:ascii="Calibri" w:hAnsi="Calibri"/>
                <w:sz w:val="22"/>
              </w:rPr>
              <w:t>Equinix (EQIX)</w:t>
            </w:r>
          </w:p>
        </w:tc>
        <w:tc>
          <w:tcPr>
            <w:tcW w:type="dxa" w:w="1440"/>
          </w:tcPr>
          <w:p>
            <w:r>
              <w:rPr>
                <w:rFonts w:ascii="Calibri" w:hAnsi="Calibri"/>
                <w:sz w:val="22"/>
              </w:rPr>
              <w:t>Nareit, Jun 3, 2026</w:t>
            </w:r>
          </w:p>
        </w:tc>
        <w:tc>
          <w:tcPr>
            <w:tcW w:type="dxa" w:w="1440"/>
          </w:tcPr>
          <w:p>
            <w:r>
              <w:rPr>
                <w:rFonts w:ascii="Calibri" w:hAnsi="Calibri"/>
                <w:sz w:val="22"/>
              </w:rPr>
              <w:t>Direct peer</w:t>
            </w:r>
          </w:p>
        </w:tc>
        <w:tc>
          <w:tcPr>
            <w:tcW w:type="dxa" w:w="1440"/>
          </w:tcPr>
          <w:p>
            <w:r>
              <w:rPr>
                <w:rFonts w:ascii="Calibri" w:hAnsi="Calibri"/>
                <w:b/>
                <w:color w:val="30A46C"/>
                <w:sz w:val="22"/>
              </w:rPr>
              <w:t>10% recurring revenue growth confirmed in Q2; “room for all boats”; AI demand at the start</w:t>
            </w:r>
          </w:p>
        </w:tc>
        <w:tc>
          <w:tcPr>
            <w:tcW w:type="dxa" w:w="1440"/>
          </w:tcPr>
          <w:p>
            <w:r>
              <w:rPr>
                <w:rFonts w:ascii="Calibri" w:hAnsi="Calibri"/>
                <w:sz w:val="22"/>
              </w:rPr>
              <w:t>EQIX claims power access advantage (no delays, 5-yr runway) — potential competitive differentiation</w:t>
            </w:r>
          </w:p>
        </w:tc>
        <w:tc>
          <w:tcPr>
            <w:tcW w:type="dxa" w:w="1440"/>
          </w:tcPr>
          <w:p>
            <w:r>
              <w:rPr>
                <w:rFonts w:ascii="Calibri" w:hAnsi="Calibri"/>
                <w:sz w:val="22"/>
              </w:rPr>
              <w:t>Positive — strongest direct Q2 data point; demand broad-based</w:t>
            </w:r>
          </w:p>
        </w:tc>
      </w:tr>
      <w:tr>
        <w:tc>
          <w:tcPr>
            <w:tcW w:type="dxa" w:w="1440"/>
          </w:tcPr>
          <w:p>
            <w:r>
              <w:rPr>
                <w:rFonts w:ascii="Calibri" w:hAnsi="Calibri"/>
                <w:sz w:val="22"/>
              </w:rPr>
              <w:t>CoreWeave (CRWV)</w:t>
            </w:r>
          </w:p>
        </w:tc>
        <w:tc>
          <w:tcPr>
            <w:tcW w:type="dxa" w:w="1440"/>
          </w:tcPr>
          <w:p>
            <w:r>
              <w:rPr>
                <w:rFonts w:ascii="Calibri" w:hAnsi="Calibri"/>
                <w:sz w:val="22"/>
              </w:rPr>
              <w:t>BofA Conf., Jun 3, 2026</w:t>
            </w:r>
          </w:p>
        </w:tc>
        <w:tc>
          <w:tcPr>
            <w:tcW w:type="dxa" w:w="1440"/>
          </w:tcPr>
          <w:p>
            <w:r>
              <w:rPr>
                <w:rFonts w:ascii="Calibri" w:hAnsi="Calibri"/>
                <w:sz w:val="22"/>
              </w:rPr>
              <w:t>Indirect (AI cloud customer)</w:t>
            </w:r>
          </w:p>
        </w:tc>
        <w:tc>
          <w:tcPr>
            <w:tcW w:type="dxa" w:w="1440"/>
          </w:tcPr>
          <w:p>
            <w:r>
              <w:rPr>
                <w:rFonts w:ascii="Calibri" w:hAnsi="Calibri"/>
                <w:b/>
                <w:color w:val="30A46C"/>
                <w:sz w:val="22"/>
              </w:rPr>
              <w:t>No slowdown; enterprise adoption accelerating; $100B backlog diversifying beyond Microsoft</w:t>
            </w:r>
          </w:p>
        </w:tc>
        <w:tc>
          <w:tcPr>
            <w:tcW w:type="dxa" w:w="1440"/>
          </w:tcPr>
          <w:p>
            <w:r>
              <w:rPr>
                <w:rFonts w:ascii="Calibri" w:hAnsi="Calibri"/>
                <w:b/>
                <w:color w:val="E5484D"/>
                <w:sz w:val="22"/>
              </w:rPr>
              <w:t>Construction delays industry-wide; one development partner delayed in Q4</w:t>
            </w:r>
          </w:p>
        </w:tc>
        <w:tc>
          <w:tcPr>
            <w:tcW w:type="dxa" w:w="1440"/>
          </w:tcPr>
          <w:p>
            <w:r>
              <w:rPr>
                <w:rFonts w:ascii="Calibri" w:hAnsi="Calibri"/>
                <w:sz w:val="22"/>
              </w:rPr>
              <w:t>Net positive — demand strong; execution risk on DLR’s pipeline is real</w:t>
            </w:r>
          </w:p>
        </w:tc>
      </w:tr>
      <w:tr>
        <w:tc>
          <w:tcPr>
            <w:tcW w:type="dxa" w:w="1440"/>
          </w:tcPr>
          <w:p>
            <w:r>
              <w:rPr>
                <w:rFonts w:ascii="Calibri" w:hAnsi="Calibri"/>
                <w:sz w:val="22"/>
              </w:rPr>
              <w:t>Nebius (NBIS)</w:t>
            </w:r>
          </w:p>
        </w:tc>
        <w:tc>
          <w:tcPr>
            <w:tcW w:type="dxa" w:w="1440"/>
          </w:tcPr>
          <w:p>
            <w:r>
              <w:rPr>
                <w:rFonts w:ascii="Calibri" w:hAnsi="Calibri"/>
                <w:sz w:val="22"/>
              </w:rPr>
              <w:t>BofA Conf., Jun 3, 2026</w:t>
            </w:r>
          </w:p>
        </w:tc>
        <w:tc>
          <w:tcPr>
            <w:tcW w:type="dxa" w:w="1440"/>
          </w:tcPr>
          <w:p>
            <w:r>
              <w:rPr>
                <w:rFonts w:ascii="Calibri" w:hAnsi="Calibri"/>
                <w:sz w:val="22"/>
              </w:rPr>
              <w:t>Indirect (AI infra demand)</w:t>
            </w:r>
          </w:p>
        </w:tc>
        <w:tc>
          <w:tcPr>
            <w:tcW w:type="dxa" w:w="1440"/>
          </w:tcPr>
          <w:p>
            <w:r>
              <w:rPr>
                <w:rFonts w:ascii="Calibri" w:hAnsi="Calibri"/>
                <w:b/>
                <w:color w:val="30A46C"/>
                <w:sz w:val="22"/>
              </w:rPr>
              <w:t>Most emphatic demand signal; inference fastest-growing; agentic AI next inflection</w:t>
            </w:r>
          </w:p>
        </w:tc>
        <w:tc>
          <w:tcPr>
            <w:tcW w:type="dxa" w:w="1440"/>
          </w:tcPr>
          <w:p>
            <w:r>
              <w:rPr>
                <w:rFonts w:ascii="Calibri" w:hAnsi="Calibri"/>
                <w:sz w:val="22"/>
              </w:rPr>
              <w:t>Self-build from late 2026 could reduce wholesale demand medium-term</w:t>
            </w:r>
          </w:p>
        </w:tc>
        <w:tc>
          <w:tcPr>
            <w:tcW w:type="dxa" w:w="1440"/>
          </w:tcPr>
          <w:p>
            <w:r>
              <w:rPr>
                <w:rFonts w:ascii="Calibri" w:hAnsi="Calibri"/>
                <w:sz w:val="22"/>
              </w:rPr>
              <w:t>Net positive for Q2; medium-term risk to watch</w:t>
            </w:r>
          </w:p>
        </w:tc>
      </w:tr>
      <w:tr>
        <w:tc>
          <w:tcPr>
            <w:tcW w:type="dxa" w:w="1440"/>
          </w:tcPr>
          <w:p>
            <w:r>
              <w:rPr>
                <w:rFonts w:ascii="Calibri" w:hAnsi="Calibri"/>
                <w:sz w:val="22"/>
              </w:rPr>
              <w:t>Applied Digital (CORZ)</w:t>
            </w:r>
          </w:p>
        </w:tc>
        <w:tc>
          <w:tcPr>
            <w:tcW w:type="dxa" w:w="1440"/>
          </w:tcPr>
          <w:p>
            <w:r>
              <w:rPr>
                <w:rFonts w:ascii="Calibri" w:hAnsi="Calibri"/>
                <w:sz w:val="22"/>
              </w:rPr>
              <w:t>TD Cowen Conf., May 28, 2026</w:t>
            </w:r>
          </w:p>
        </w:tc>
        <w:tc>
          <w:tcPr>
            <w:tcW w:type="dxa" w:w="1440"/>
          </w:tcPr>
          <w:p>
            <w:r>
              <w:rPr>
                <w:rFonts w:ascii="Calibri" w:hAnsi="Calibri"/>
                <w:sz w:val="22"/>
              </w:rPr>
              <w:t>Indirect (hyperscale dev. cost signal)</w:t>
            </w:r>
          </w:p>
        </w:tc>
        <w:tc>
          <w:tcPr>
            <w:tcW w:type="dxa" w:w="1440"/>
          </w:tcPr>
          <w:p>
            <w:r>
              <w:rPr>
                <w:rFonts w:ascii="Calibri" w:hAnsi="Calibri"/>
                <w:b/>
                <w:color w:val="30A46C"/>
                <w:sz w:val="22"/>
              </w:rPr>
              <w:t>Demand visibility through 2028–2029; hyperscalers “very strong”</w:t>
            </w:r>
          </w:p>
        </w:tc>
        <w:tc>
          <w:tcPr>
            <w:tcW w:type="dxa" w:w="1440"/>
          </w:tcPr>
          <w:p>
            <w:r>
              <w:rPr>
                <w:rFonts w:ascii="Calibri" w:hAnsi="Calibri"/>
                <w:b/>
                <w:color w:val="E5484D"/>
                <w:sz w:val="22"/>
              </w:rPr>
              <w:t>Labor +20–30% YoY; build costs $11.5–12M/MW; switchgear 100-week lead times</w:t>
            </w:r>
          </w:p>
        </w:tc>
        <w:tc>
          <w:tcPr>
            <w:tcW w:type="dxa" w:w="1440"/>
          </w:tcPr>
          <w:p>
            <w:r>
              <w:rPr>
                <w:rFonts w:ascii="Calibri" w:hAnsi="Calibri"/>
                <w:sz w:val="22"/>
              </w:rPr>
              <w:t>Most important risk read-through; validates DLR’s $14M/MW cost disclosure</w:t>
            </w:r>
          </w:p>
        </w:tc>
      </w:tr>
      <w:tr>
        <w:tc>
          <w:tcPr>
            <w:tcW w:type="dxa" w:w="1440"/>
          </w:tcPr>
          <w:p>
            <w:r>
              <w:rPr>
                <w:rFonts w:ascii="Calibri" w:hAnsi="Calibri"/>
                <w:sz w:val="22"/>
              </w:rPr>
              <w:t>Crown Castle (CCI)</w:t>
            </w:r>
          </w:p>
        </w:tc>
        <w:tc>
          <w:tcPr>
            <w:tcW w:type="dxa" w:w="1440"/>
          </w:tcPr>
          <w:p>
            <w:r>
              <w:rPr>
                <w:rFonts w:ascii="Calibri" w:hAnsi="Calibri"/>
                <w:sz w:val="22"/>
              </w:rPr>
              <w:t>Q2 2026 Earnings, Jul 22, 2026</w:t>
            </w:r>
          </w:p>
        </w:tc>
        <w:tc>
          <w:tcPr>
            <w:tcW w:type="dxa" w:w="1440"/>
          </w:tcPr>
          <w:p>
            <w:r>
              <w:rPr>
                <w:rFonts w:ascii="Calibri" w:hAnsi="Calibri"/>
                <w:sz w:val="22"/>
              </w:rPr>
              <w:t>Indirect (infra demand &amp; power)</w:t>
            </w:r>
          </w:p>
        </w:tc>
        <w:tc>
          <w:tcPr>
            <w:tcW w:type="dxa" w:w="1440"/>
          </w:tcPr>
          <w:p>
            <w:r>
              <w:rPr>
                <w:rFonts w:ascii="Calibri" w:hAnsi="Calibri"/>
                <w:b/>
                <w:color w:val="30A46C"/>
                <w:sz w:val="22"/>
              </w:rPr>
              <w:t>“15-year backlog” of data center demand vs. deliverable supply; AI driving data consumption doubling</w:t>
            </w:r>
          </w:p>
        </w:tc>
        <w:tc>
          <w:tcPr>
            <w:tcW w:type="dxa" w:w="1440"/>
          </w:tcPr>
          <w:p>
            <w:r>
              <w:rPr>
                <w:rFonts w:ascii="Calibri" w:hAnsi="Calibri"/>
                <w:b/>
                <w:color w:val="E5484D"/>
                <w:sz w:val="22"/>
              </w:rPr>
              <w:t>“Many large data center deployments face multi-year construction and power delivery delays”</w:t>
            </w:r>
          </w:p>
        </w:tc>
        <w:tc>
          <w:tcPr>
            <w:tcW w:type="dxa" w:w="1440"/>
          </w:tcPr>
          <w:p>
            <w:r>
              <w:rPr>
                <w:rFonts w:ascii="Calibri" w:hAnsi="Calibri"/>
                <w:sz w:val="22"/>
              </w:rPr>
              <w:t>Demand signal very bullish; power/construction risk flag for DLR’s early-stage Charlotte/Atlanta pipeline</w:t>
            </w:r>
          </w:p>
        </w:tc>
      </w:tr>
    </w:tbl>
    <w:p>
      <w:r>
        <w:rPr>
          <w:rFonts w:ascii="Calibri" w:hAnsi="Calibri"/>
          <w:i/>
          <w:color w:val="525866"/>
          <w:sz w:val="22"/>
        </w:rPr>
        <w:t>Sources: Equinix Nareit REITweek Investor Conference transcript (June 3, 2026); Nebius Group Bank of America Global Technology Conference transcript (June 3, 2026); CoreWeave Bank of America Global Technology Conference transcript (June 3, 2026); Applied Digital TD Cowen Technology, Media &amp; Telecom Conference transcript (May 28, 2026); Crown Castle Q2 2026 Earnings Call transcript (July 22, 2026). All commentary reflects Q2 2026 conditions or forward outlook as of Q2 2026; retrospective Q1-only commentary excluded.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