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v-earnings-predictions--2026-07-23"/>
    <w:p>
      <w:pPr>
        <w:pStyle w:val="Heading1"/>
      </w:pPr>
      <w:r>
        <w:t xml:space="preserve">DOV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~$2.78 vs. cons $2.72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~$2.24B vs. cons $2.21B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Bookings / book-to-bill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book-to-bill ~1.1 (orders ~</w:t>
            </w:r>
            <m:oMath>
              <m:r>
                <m:t>2.3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t>1.0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2.15B)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10.55</m:t>
              </m:r>
              <m:r>
                <m:rPr>
                  <m:sty m:val="p"/>
                </m:rPr>
                <m:t>–</m:t>
              </m:r>
            </m:oMath>
            <w:r>
              <w:t xml:space="preserve">10.75 (mid ~$10.65) vs. cons $10.62 (FY2026); prior</w:t>
            </w:r>
            <w:r>
              <w:t xml:space="preserve"> </w:t>
            </w:r>
            <m:oMath>
              <m:r>
                <m:t>10.45</m:t>
              </m:r>
              <m:r>
                <m:rPr>
                  <m:sty m:val="p"/>
                </m:rPr>
                <m:t>–</m:t>
              </m:r>
            </m:oMath>
            <w:r>
              <w:t xml:space="preserve">10.65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~4–6% vs. cons/prior 3–5%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CST 2H margin inflection / consolidation on track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CST 2H EBITDA margin ~19–20% vs. Q1 ~17.5% (2H 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AI/power &amp; data-center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</w:t>
            </w:r>
            <m:oMath>
              <m:r>
                <m:t>1.0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t>o</m:t>
              </m:r>
              <m:r>
                <m:t>s</m:t>
              </m:r>
              <m:r>
                <m:t>s</m:t>
              </m:r>
              <m:r>
                <m:t>i</m:t>
              </m:r>
              <m:r>
                <m:t>b</m:t>
              </m:r>
              <m:r>
                <m:t>l</m:t>
              </m:r>
              <m:r>
                <m:t>e</m:t>
              </m:r>
              <m:r>
                <m:t>u</m:t>
              </m:r>
              <m:r>
                <m:t>p</m:t>
              </m:r>
              <m:r>
                <m:t>s</m:t>
              </m:r>
              <m:r>
                <m:t>i</m:t>
              </m:r>
              <m:r>
                <m:t>z</m:t>
              </m:r>
              <m:r>
                <m:t>e</m:t>
              </m:r>
              <m:r>
                <m:t>t</m:t>
              </m:r>
              <m:r>
                <m:t>o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 </m:t>
              </m:r>
            </m:oMath>
            <w:r>
              <w:t xml:space="preserve">1.1B vs. prior &gt;$1.0B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clean Q2 beat plus a top-end/modest full-range guidance lift should pop shares initially, but the raise is largely discounted (Q1 commentary telegraphed it) and management's disciplined revenue conversion means out-period estimates get only marginally lifted while a tough 2H comp and 'no stuffing' orders temper 2H numbers. With shares already recovered into the print and below Feb highs, the initial idiosyncratic gain fades toward roughly flat-to-slightly-positive over five days as revisions prove smaller than the headline beat implies.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2026-07-23T00:40:37Z</dcterms:created>
  <dcterms:modified xsi:type="dcterms:W3CDTF">2026-07-23T00:40:37Z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