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DOV before writing the preview. Let me start by gathering recent earnings materials, filings, and news.Let me read the most recent earnings call (Q1 2026), the release, and gather the year-ago context.Let me get recent stock price action and analyst consensus for the upcoming quarter.I now have a comprehensive picture. Let me write the preview.</w:t>
      </w:r>
    </w:p>
    <w:bookmarkStart w:id="16" w:name="X31935de98d9affba69eba97d79f765a9a116ce3"/>
    <w:p>
      <w:pPr>
        <w:pStyle w:val="Heading1"/>
      </w:pPr>
      <w:r>
        <w:t xml:space="preserve">Dover Corporation (DOV) — Q2 2026 Earnings Preview</w:t>
      </w:r>
    </w:p>
    <w:p>
      <w:pPr>
        <w:pStyle w:val="FirstParagraph"/>
      </w:pPr>
      <w:r>
        <w:rPr>
          <w:b/>
          <w:bCs/>
        </w:rPr>
        <w:t xml:space="preserve">Report date:</w:t>
      </w:r>
      <w:r>
        <w:t xml:space="preserve"> </w:t>
      </w:r>
      <w:r>
        <w:t xml:space="preserve">Thursday, July 23, 2026 (before open) ·</w:t>
      </w:r>
      <w:r>
        <w:t xml:space="preserve"> </w:t>
      </w:r>
      <w:r>
        <w:rPr>
          <w:b/>
          <w:bCs/>
        </w:rPr>
        <w:t xml:space="preserve">Call:</w:t>
      </w:r>
      <w:r>
        <w:t xml:space="preserve"> </w:t>
      </w:r>
      <w:r>
        <w:t xml:space="preserve">9:30 a.m. ET ·</w:t>
      </w:r>
      <w:r>
        <w:t xml:space="preserve"> </w:t>
      </w:r>
      <w:r>
        <w:rPr>
          <w:b/>
          <w:bCs/>
        </w:rPr>
        <w:t xml:space="preserve">Stock:</w:t>
      </w:r>
      <w:r>
        <w:t xml:space="preserve"> </w:t>
      </w:r>
      <w:r>
        <w:t xml:space="preserve">~</w:t>
      </w:r>
      <m:oMath>
        <m:r>
          <m:t>214.57</m:t>
        </m:r>
        <m:r>
          <m:rPr>
            <m:sty m:val="p"/>
          </m:rPr>
          <m:t>(</m:t>
        </m:r>
        <m:r>
          <m:t>7</m:t>
        </m:r>
        <m:r>
          <m:rPr>
            <m:sty m:val="p"/>
          </m:rPr>
          <m:t>/</m:t>
        </m:r>
        <m:r>
          <m:t>22</m:t>
        </m:r>
        <m:r>
          <m:t>c</m:t>
        </m:r>
        <m:r>
          <m:t>l</m:t>
        </m:r>
        <m:r>
          <m:t>o</m:t>
        </m:r>
        <m:r>
          <m:t>s</m:t>
        </m:r>
        <m:r>
          <m:t>e</m:t>
        </m:r>
        <m:r>
          <m:rPr>
            <m:sty m:val="p"/>
          </m:rPr>
          <m:t>)</m:t>
        </m:r>
        <m:r>
          <m:rPr>
            <m:sty m:val="p"/>
          </m:rPr>
          <m:t>·</m:t>
        </m:r>
        <m:r>
          <m:rPr>
            <m:sty m:val="p"/>
          </m:rPr>
          <m:t>*</m:t>
        </m:r>
        <m:r>
          <m:rPr>
            <m:sty m:val="p"/>
          </m:rPr>
          <m:t>*</m:t>
        </m:r>
        <m:r>
          <m:t>M</m:t>
        </m:r>
        <m:r>
          <m:t>a</m:t>
        </m:r>
        <m:r>
          <m:t>r</m:t>
        </m:r>
        <m:r>
          <m:t>k</m:t>
        </m:r>
        <m:r>
          <m:t>e</m:t>
        </m:r>
        <m:r>
          <m:t>t</m:t>
        </m:r>
        <m:r>
          <m:t>c</m:t>
        </m:r>
        <m:r>
          <m:t>a</m:t>
        </m:r>
        <m:r>
          <m:t>p</m:t>
        </m:r>
        <m:r>
          <m:rPr>
            <m:sty m:val="p"/>
          </m:rPr>
          <m:t>:</m:t>
        </m:r>
        <m:r>
          <m:rPr>
            <m:sty m:val="p"/>
          </m:rPr>
          <m:t>*</m:t>
        </m:r>
        <m:r>
          <m:rPr>
            <m:sty m:val="p"/>
          </m:rPr>
          <m:t>*</m:t>
        </m:r>
        <m:r>
          <m:t> </m:t>
        </m:r>
      </m:oMath>
      <w:r>
        <w:t xml:space="preserve">30B</w:t>
      </w:r>
    </w:p>
    <w:p>
      <w:r>
        <w:pict>
          <v:rect style="width:0;height:1.5pt" o:hralign="center" o:hrstd="t" o:hr="t"/>
        </w:pict>
      </w:r>
    </w:p>
    <w:bookmarkStart w:id="9" w:name="the-one-line-setup"/>
    <w:p>
      <w:pPr>
        <w:pStyle w:val="Heading2"/>
      </w:pPr>
      <w:r>
        <w:t xml:space="preserve">The One-Line Setup</w:t>
      </w:r>
    </w:p>
    <w:p>
      <w:pPr>
        <w:pStyle w:val="FirstParagraph"/>
      </w:pPr>
      <w:r>
        <w:t xml:space="preserve">Dover heads into Q2 with the best order book in years and a management team that has all but pre-announced a guidance raise. The quarter itself should be a comfortable beat;</w:t>
      </w:r>
      <w:r>
        <w:t xml:space="preserve"> </w:t>
      </w:r>
      <w:r>
        <w:rPr>
          <w:b/>
          <w:bCs/>
        </w:rPr>
        <w:t xml:space="preserve">the real event is the full-year guide.</w:t>
      </w:r>
      <w:r>
        <w:t xml:space="preserve"> </w:t>
      </w:r>
      <w:r>
        <w:t xml:space="preserve">After Q1, CEO Rich Tobin said the company is "clearly driving to the top end of the range" and would "revisit guidance next quarter" — this is that quarter. Anything short of a raise would be a disappointment.</w:t>
      </w:r>
    </w:p>
    <w:p>
      <w:r>
        <w:pict>
          <v:rect style="width:0;height:1.5pt" o:hralign="center" o:hrstd="t" o:hr="t"/>
        </w:pict>
      </w:r>
    </w:p>
    <w:bookmarkEnd w:id="9"/>
    <w:bookmarkStart w:id="10" w:name="what-the-street-expects"/>
    <w:p>
      <w:pPr>
        <w:pStyle w:val="Heading2"/>
      </w:pPr>
      <w:r>
        <w:t xml:space="preserve">What the Street Expects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 2026 Consensus</w:t>
            </w:r>
          </w:p>
        </w:tc>
        <w:tc>
          <w:tcPr/>
          <w:p>
            <w:pPr>
              <w:pStyle w:val="Compact"/>
            </w:pPr>
            <w:r>
              <w:t xml:space="preserve">Q2 2025 Actual</w:t>
            </w:r>
          </w:p>
        </w:tc>
        <w:tc>
          <w:tcPr/>
          <w:p>
            <w:pPr>
              <w:pStyle w:val="Compact"/>
            </w:pPr>
            <w:r>
              <w:t xml:space="preserve">Implied Y/Y</w:t>
            </w:r>
          </w:p>
        </w:tc>
      </w:tr>
      <w:tr>
        <w:tc>
          <w:tcPr/>
          <w:p>
            <w:pPr>
              <w:pStyle w:val="Compact"/>
            </w:pPr>
            <w:r>
              <w:t xml:space="preserve">Adjusted EPS</w:t>
            </w:r>
          </w:p>
        </w:tc>
        <w:tc>
          <w:tcPr/>
          <w:p>
            <w:pPr>
              <w:pStyle w:val="Compact"/>
            </w:pPr>
            <w:r>
              <w:t xml:space="preserve">~$2.72</w:t>
            </w:r>
          </w:p>
        </w:tc>
        <w:tc>
          <w:tcPr/>
          <w:p>
            <w:pPr>
              <w:pStyle w:val="Compact"/>
            </w:pPr>
            <w:r>
              <w:t xml:space="preserve">$2.44</w:t>
            </w:r>
          </w:p>
        </w:tc>
        <w:tc>
          <w:tcPr/>
          <w:p>
            <w:pPr>
              <w:pStyle w:val="Compact"/>
            </w:pPr>
            <w:r>
              <w:t xml:space="preserve">+11.5%</w:t>
            </w:r>
          </w:p>
        </w:tc>
      </w:tr>
      <w:tr>
        <w:tc>
          <w:tcPr/>
          <w:p>
            <w:pPr>
              <w:pStyle w:val="Compact"/>
            </w:pPr>
            <w:r>
              <w:t xml:space="preserve">Revenue</w:t>
            </w:r>
          </w:p>
        </w:tc>
        <w:tc>
          <w:tcPr/>
          <w:p>
            <w:pPr>
              <w:pStyle w:val="Compact"/>
            </w:pPr>
            <w:r>
              <w:t xml:space="preserve">~$2.21B</w:t>
            </w:r>
          </w:p>
        </w:tc>
        <w:tc>
          <w:tcPr/>
          <w:p>
            <w:pPr>
              <w:pStyle w:val="Compact"/>
            </w:pPr>
            <w:r>
              <w:t xml:space="preserve">$2.05B</w:t>
            </w:r>
          </w:p>
        </w:tc>
        <w:tc>
          <w:tcPr/>
          <w:p>
            <w:pPr>
              <w:pStyle w:val="Compact"/>
            </w:pPr>
            <w:r>
              <w:t xml:space="preserve">+~7.9%</w:t>
            </w:r>
          </w:p>
        </w:tc>
      </w:tr>
    </w:tbl>
    <w:p>
      <w:pPr>
        <w:pStyle w:val="Compact"/>
        <w:numPr>
          <w:ilvl w:val="0"/>
          <w:numId w:val="1001"/>
        </w:numPr>
      </w:pPr>
      <w:r>
        <w:t xml:space="preserve">Analysts peg adjusted EPS at **~</w:t>
      </w:r>
      <m:oMath>
        <m:r>
          <m:t>2.72</m:t>
        </m:r>
        <m:r>
          <m:rPr>
            <m:sty m:val="p"/>
          </m:rPr>
          <m:t>*</m:t>
        </m:r>
        <m:r>
          <m:rPr>
            <m:sty m:val="p"/>
          </m:rPr>
          <m:t>*</m:t>
        </m:r>
        <m:r>
          <m:rPr>
            <m:sty m:val="p"/>
          </m:rPr>
          <m:t>,</m:t>
        </m:r>
        <m:r>
          <m:t>e</m:t>
        </m:r>
        <m:r>
          <m:t>s</m:t>
        </m:r>
        <m:r>
          <m:t>s</m:t>
        </m:r>
        <m:r>
          <m:t>e</m:t>
        </m:r>
        <m:r>
          <m:t>n</m:t>
        </m:r>
        <m:r>
          <m:t>t</m:t>
        </m:r>
        <m:r>
          <m:t>i</m:t>
        </m:r>
        <m:r>
          <m:t>a</m:t>
        </m:r>
        <m:r>
          <m:t>l</m:t>
        </m:r>
        <m:r>
          <m:t>l</m:t>
        </m:r>
        <m:r>
          <m:t>y</m:t>
        </m:r>
        <m:r>
          <m:t>i</m:t>
        </m:r>
        <m:r>
          <m:t>n</m:t>
        </m:r>
        <m:r>
          <m:t>l</m:t>
        </m:r>
        <m:r>
          <m:t>i</m:t>
        </m:r>
        <m:r>
          <m:t>n</m:t>
        </m:r>
        <m:r>
          <m:t>e</m:t>
        </m:r>
        <m:r>
          <m:t>w</m:t>
        </m:r>
        <m:r>
          <m:t>i</m:t>
        </m:r>
        <m:r>
          <m:t>t</m:t>
        </m:r>
        <m:r>
          <m:t>h</m:t>
        </m:r>
        <m:r>
          <m:t>t</m:t>
        </m:r>
        <m:r>
          <m:t>h</m:t>
        </m:r>
        <m:r>
          <m:t>e</m:t>
        </m:r>
        <m:r>
          <m:t> </m:t>
        </m:r>
      </m:oMath>
      <w:r>
        <w:t xml:space="preserve">2.73 the model implied off management's own commentary, and revenue near</w:t>
      </w:r>
      <w:r>
        <w:t xml:space="preserve"> </w:t>
      </w:r>
      <w:r>
        <w:rPr>
          <w:b/>
          <w:bCs/>
        </w:rPr>
        <w:t xml:space="preserve">$2.21B</w:t>
      </w:r>
      <w:r>
        <w:t xml:space="preserve">. Dover has beaten EPS estimates in each of the last four quarters.</w:t>
      </w:r>
    </w:p>
    <w:p>
      <w:pPr>
        <w:pStyle w:val="Compact"/>
        <w:numPr>
          <w:ilvl w:val="0"/>
          <w:numId w:val="1001"/>
        </w:numPr>
      </w:pPr>
      <w:r>
        <w:rPr>
          <w:b/>
          <w:bCs/>
        </w:rPr>
        <w:t xml:space="preserve">Full-year 2026 guide (unchanged since April):</w:t>
      </w:r>
      <w:r>
        <w:t xml:space="preserve"> </w:t>
      </w:r>
      <w:r>
        <w:t xml:space="preserve">adjusted EPS</w:t>
      </w:r>
      <w:r>
        <w:t xml:space="preserve"> </w:t>
      </w:r>
      <m:oMath>
        <m:r>
          <m:t>10.45</m:t>
        </m:r>
        <m:r>
          <m:rPr>
            <m:sty m:val="p"/>
          </m:rPr>
          <m:t>–</m:t>
        </m:r>
      </m:oMath>
      <w:r>
        <w:rPr>
          <w:b/>
          <w:bCs/>
        </w:rPr>
        <w:t xml:space="preserve">10.65</w:t>
      </w:r>
      <w:r>
        <w:t xml:space="preserve"> </w:t>
      </w:r>
      <w:r>
        <w:t xml:space="preserve">(GAAP</w:t>
      </w:r>
      <w:r>
        <w:t xml:space="preserve"> </w:t>
      </w:r>
      <m:oMath>
        <m:r>
          <m:t>8.92</m:t>
        </m:r>
        <m:r>
          <m:rPr>
            <m:sty m:val="p"/>
          </m:rPr>
          <m:t>–</m:t>
        </m:r>
      </m:oMath>
      <w:r>
        <w:t xml:space="preserve">9.12), revenue growth</w:t>
      </w:r>
      <w:r>
        <w:t xml:space="preserve"> </w:t>
      </w:r>
      <w:r>
        <w:rPr>
          <w:b/>
          <w:bCs/>
        </w:rPr>
        <w:t xml:space="preserve">5–7%</w:t>
      </w:r>
      <w:r>
        <w:t xml:space="preserve"> </w:t>
      </w:r>
      <w:r>
        <w:t xml:space="preserve">(organic</w:t>
      </w:r>
      <w:r>
        <w:t xml:space="preserve"> </w:t>
      </w:r>
      <w:r>
        <w:rPr>
          <w:b/>
          <w:bCs/>
        </w:rPr>
        <w:t xml:space="preserve">3–5%</w:t>
      </w:r>
      <w:r>
        <w:t xml:space="preserve">), FCF</w:t>
      </w:r>
      <w:r>
        <w:t xml:space="preserve"> </w:t>
      </w:r>
      <w:r>
        <w:rPr>
          <w:b/>
          <w:bCs/>
        </w:rPr>
        <w:t xml:space="preserve">14–16%</w:t>
      </w:r>
      <w:r>
        <w:t xml:space="preserve"> </w:t>
      </w:r>
      <w:r>
        <w:t xml:space="preserve">of revenue, capex $190–210M.</w:t>
      </w:r>
    </w:p>
    <w:p>
      <w:r>
        <w:pict>
          <v:rect style="width:0;height:1.5pt" o:hralign="center" o:hrstd="t" o:hr="t"/>
        </w:pict>
      </w:r>
    </w:p>
    <w:bookmarkEnd w:id="10"/>
    <w:bookmarkStart w:id="11" w:name="why-q1-sets-up-a-strong-q2"/>
    <w:p>
      <w:pPr>
        <w:pStyle w:val="Heading2"/>
      </w:pPr>
      <w:r>
        <w:t xml:space="preserve">Why Q1 Sets Up a Strong Q2</w:t>
      </w:r>
    </w:p>
    <w:p>
      <w:pPr>
        <w:pStyle w:val="FirstParagraph"/>
      </w:pPr>
      <w:r>
        <w:rPr>
          <w:b/>
          <w:bCs/>
        </w:rPr>
        <w:t xml:space="preserve">Q1 2026 recap (reported April 23):</w:t>
      </w:r>
    </w:p>
    <w:p>
      <w:pPr>
        <w:pStyle w:val="Compact"/>
        <w:numPr>
          <w:ilvl w:val="0"/>
          <w:numId w:val="1002"/>
        </w:numPr>
      </w:pPr>
      <w:r>
        <w:t xml:space="preserve">Revenue</w:t>
      </w:r>
      <w:r>
        <w:t xml:space="preserve"> </w:t>
      </w:r>
      <m:oMath>
        <m:r>
          <m:t>2.05</m:t>
        </m:r>
        <m:r>
          <m:t>B</m:t>
        </m:r>
        <m:r>
          <m:rPr>
            <m:sty m:val="p"/>
          </m:rPr>
          <m:t>,</m:t>
        </m:r>
        <m:r>
          <m:rPr>
            <m:sty m:val="p"/>
          </m:rPr>
          <m:t>+</m:t>
        </m:r>
        <m:r>
          <m:t>10</m:t>
        </m:r>
      </m:oMath>
      <w:r>
        <w:rPr>
          <w:b/>
          <w:bCs/>
        </w:rPr>
        <w:t xml:space="preserve">2.28, +11%</w:t>
      </w:r>
      <w:r>
        <w:t xml:space="preserve">.</w:t>
      </w:r>
    </w:p>
    <w:p>
      <w:pPr>
        <w:pStyle w:val="Compact"/>
        <w:numPr>
          <w:ilvl w:val="0"/>
          <w:numId w:val="1002"/>
        </w:numPr>
      </w:pPr>
      <w:r>
        <w:rPr>
          <w:b/>
          <w:bCs/>
        </w:rPr>
        <w:t xml:space="preserve">Bookings were the headline: $2.46B, +24% Y/Y, book-to-bill 1.2, with all five segments above 1.</w:t>
      </w:r>
      <w:r>
        <w:t xml:space="preserve"> </w:t>
      </w:r>
      <w:r>
        <w:t xml:space="preserve">Trailing-12-month book-to-bill turned above 1 for the first time in a while.</w:t>
      </w:r>
    </w:p>
    <w:p>
      <w:pPr>
        <w:pStyle w:val="FirstParagraph"/>
      </w:pPr>
      <w:r>
        <w:rPr>
          <w:b/>
          <w:bCs/>
        </w:rPr>
        <w:t xml:space="preserve">Q1 organic growth by segment:</w:t>
      </w:r>
      <w:r>
        <w:t xml:space="preserve"> </w:t>
      </w:r>
      <w:r>
        <w:t xml:space="preserve">| Segment | Q1 '26 Organic | Q1 EBITDA Margin |</w:t>
      </w:r>
      <w:r>
        <w:t xml:space="preserve"> </w:t>
      </w:r>
      <w:r>
        <w:t xml:space="preserve">|---|---|---|</w:t>
      </w:r>
      <w:r>
        <w:t xml:space="preserve"> </w:t>
      </w:r>
      <w:r>
        <w:t xml:space="preserve">| Engineered Products | +2.1% | 18.9% |</w:t>
      </w:r>
      <w:r>
        <w:t xml:space="preserve"> </w:t>
      </w:r>
      <w:r>
        <w:t xml:space="preserve">| Clean Energy &amp; Fueling | +11.1% | 19.4% |</w:t>
      </w:r>
      <w:r>
        <w:t xml:space="preserve"> </w:t>
      </w:r>
      <w:r>
        <w:t xml:space="preserve">| Imaging &amp; Identification | –3.3% | 28.6% |</w:t>
      </w:r>
      <w:r>
        <w:t xml:space="preserve"> </w:t>
      </w:r>
      <w:r>
        <w:t xml:space="preserve">| Pumps &amp; Process Solutions | –0.8% | 34.1% |</w:t>
      </w:r>
      <w:r>
        <w:t xml:space="preserve"> </w:t>
      </w:r>
      <w:r>
        <w:t xml:space="preserve">| Climate &amp; Sustainability Tech | +15.2% | 17.5% |</w:t>
      </w:r>
    </w:p>
    <w:p>
      <w:pPr>
        <w:pStyle w:val="BodyText"/>
      </w:pPr>
      <w:r>
        <w:t xml:space="preserve">Crucially, management characterized the order surge as</w:t>
      </w:r>
      <w:r>
        <w:t xml:space="preserve"> </w:t>
      </w:r>
      <w:r>
        <w:rPr>
          <w:b/>
          <w:bCs/>
        </w:rPr>
        <w:t xml:space="preserve">demand-driven, not a tariff pre-buy</w:t>
      </w:r>
      <w:r>
        <w:t xml:space="preserve"> </w:t>
      </w:r>
      <w:r>
        <w:t xml:space="preserve">— customers are placing orders earlier to reserve constrained capacity (heat exchangers, CO2 systems, refrigeration cases, aerospace/defense). April bookings were described as "so far, so good," suggesting momentum carried into Q2.</w:t>
      </w:r>
    </w:p>
    <w:p>
      <w:r>
        <w:pict>
          <v:rect style="width:0;height:1.5pt" o:hralign="center" o:hrstd="t" o:hr="t"/>
        </w:pict>
      </w:r>
    </w:p>
    <w:bookmarkEnd w:id="11"/>
    <w:bookmarkStart w:id="12" w:name="the-five-things-to-watch-on-july-23"/>
    <w:p>
      <w:pPr>
        <w:pStyle w:val="Heading2"/>
      </w:pPr>
      <w:r>
        <w:t xml:space="preserve">The Five Things to Watch on July 23</w:t>
      </w:r>
    </w:p>
    <w:p>
      <w:pPr>
        <w:pStyle w:val="FirstParagraph"/>
      </w:pPr>
      <w:r>
        <w:rPr>
          <w:b/>
          <w:bCs/>
        </w:rPr>
        <w:t xml:space="preserve">1. The guidance raise (the main event).</w:t>
      </w:r>
      <w:r>
        <w:t xml:space="preserve"> </w:t>
      </w:r>
      <w:r>
        <w:t xml:space="preserve">Management explicitly signaled a raise is coming if bookings held through Q2 — which they apparently have. Watch whether Dover lifts to the</w:t>
      </w:r>
      <w:r>
        <w:t xml:space="preserve"> </w:t>
      </w:r>
      <w:r>
        <w:rPr>
          <w:b/>
          <w:bCs/>
        </w:rPr>
        <w:t xml:space="preserve">top of</w:t>
      </w:r>
      <w:r>
        <w:rPr>
          <w:b/>
          <w:bCs/>
        </w:rPr>
        <w:t xml:space="preserve"> </w:t>
      </w:r>
      <m:oMath>
        <m:r>
          <m:t>10.45</m:t>
        </m:r>
        <m:r>
          <m:rPr>
            <m:sty m:val="p"/>
          </m:rPr>
          <m:t>–</m:t>
        </m:r>
      </m:oMath>
      <w:r>
        <w:rPr>
          <w:b/>
          <w:bCs/>
        </w:rPr>
        <w:t xml:space="preserve">10.65</w:t>
      </w:r>
      <w:r>
        <w:t xml:space="preserve"> </w:t>
      </w:r>
      <w:r>
        <w:t xml:space="preserve">or raises the</w:t>
      </w:r>
      <w:r>
        <w:t xml:space="preserve"> </w:t>
      </w:r>
      <w:r>
        <w:rPr>
          <w:i/>
          <w:iCs/>
        </w:rPr>
        <w:t xml:space="preserve">whole range</w:t>
      </w:r>
      <w:r>
        <w:t xml:space="preserve">. Given +24% Q1 bookings vs. a 3–5% organic guide, the current outlook looks conservative (analyst Andrew Obin literally called it "a conservative guide" on the Q1 call). The magnitude and language here will drive the stock's reaction more than the printed Q2 numbers.</w:t>
      </w:r>
    </w:p>
    <w:p>
      <w:pPr>
        <w:pStyle w:val="BodyText"/>
      </w:pPr>
      <w:r>
        <w:rPr>
          <w:b/>
          <w:bCs/>
        </w:rPr>
        <w:t xml:space="preserve">2. Bookings / book-to-bill durability.</w:t>
      </w:r>
      <w:r>
        <w:t xml:space="preserve"> </w:t>
      </w:r>
      <w:r>
        <w:t xml:space="preserve">The bull case rests on the order book being real, not pull-forward. Look for continued book-to-bill above 1 and color on how much of the backlog is "longer-dated" orders reserving 2H/2027 capacity versus near-term shippable demand. Tobin cautioned against "stuffing" Q1 orders into Q2 revenue — so a strong bookings number with disciplined revenue conversion is the healthy outcome.</w:t>
      </w:r>
    </w:p>
    <w:p>
      <w:pPr>
        <w:pStyle w:val="BodyText"/>
      </w:pPr>
      <w:r>
        <w:rPr>
          <w:b/>
          <w:bCs/>
        </w:rPr>
        <w:t xml:space="preserve">3. Climate &amp; Sustainability Technologies (CST) margin inflection.</w:t>
      </w:r>
      <w:r>
        <w:t xml:space="preserve"> </w:t>
      </w:r>
      <w:r>
        <w:t xml:space="preserve">This is the swing factor for 2H. CST grew 15% organic in Q1 but carried</w:t>
      </w:r>
      <w:r>
        <w:t xml:space="preserve"> </w:t>
      </w:r>
      <w:r>
        <w:rPr>
          <w:b/>
          <w:bCs/>
        </w:rPr>
        <w:t xml:space="preserve">redundant fixed costs</w:t>
      </w:r>
      <w:r>
        <w:t xml:space="preserve"> </w:t>
      </w:r>
      <w:r>
        <w:t xml:space="preserve">because strong refrigeration demand forced Dover to keep plants open during a facility consolidation (Conyers, GA). Management guided to that consolidation finishing</w:t>
      </w:r>
      <w:r>
        <w:t xml:space="preserve"> </w:t>
      </w:r>
      <w:r>
        <w:rPr>
          <w:b/>
          <w:bCs/>
        </w:rPr>
        <w:t xml:space="preserve">~mid-year</w:t>
      </w:r>
      <w:r>
        <w:t xml:space="preserve">, with a "material inflection" in CST margins in 2H. Watch for confirmation the consolidation is on track and margins are starting to lift.</w:t>
      </w:r>
    </w:p>
    <w:p>
      <w:pPr>
        <w:pStyle w:val="BodyText"/>
      </w:pPr>
      <w:r>
        <w:rPr>
          <w:b/>
          <w:bCs/>
        </w:rPr>
        <w:t xml:space="preserve">4. AI / power &amp; data-center exposure.</w:t>
      </w:r>
      <w:r>
        <w:t xml:space="preserve"> </w:t>
      </w:r>
      <w:r>
        <w:t xml:space="preserve">Dover expects</w:t>
      </w:r>
      <w:r>
        <w:t xml:space="preserve"> </w:t>
      </w:r>
      <w:r>
        <w:rPr>
          <w:b/>
          <w:bCs/>
        </w:rPr>
        <w:t xml:space="preserve">&gt;$1B of 2026 revenue</w:t>
      </w:r>
      <w:r>
        <w:t xml:space="preserve"> </w:t>
      </w:r>
      <w:r>
        <w:t xml:space="preserve">tied to AI and power-generation infrastructure — brazed-plate heat exchangers and CPC liquid-cooling connectors (Climate/Pumps), plus turbine/compression components. Any upsizing of that $1B figure, new capacity announcements, or hyperscaler specification wins (fiberglass conduit in fueling, etc.) would be a positive catalyst given the theme's premium in the market.</w:t>
      </w:r>
    </w:p>
    <w:p>
      <w:pPr>
        <w:pStyle w:val="BodyText"/>
      </w:pPr>
      <w:r>
        <w:rPr>
          <w:b/>
          <w:bCs/>
        </w:rPr>
        <w:t xml:space="preserve">5. Pumps &amp; Process Solutions — the biopharma comp and compression.</w:t>
      </w:r>
      <w:r>
        <w:t xml:space="preserve"> </w:t>
      </w:r>
      <w:r>
        <w:t xml:space="preserve">PPS was flat organically in Q1 as it lapped a tough biopharma comp, but margins impressed (34% EBITDA). Two things to track: (a) continued biopharma normalization, and (b) the potential</w:t>
      </w:r>
      <w:r>
        <w:t xml:space="preserve"> </w:t>
      </w:r>
      <w:r>
        <w:rPr>
          <w:b/>
          <w:bCs/>
        </w:rPr>
        <w:t xml:space="preserve">2H inflection in midstream gas compression orders</w:t>
      </w:r>
      <w:r>
        <w:t xml:space="preserve"> </w:t>
      </w:r>
      <w:r>
        <w:t xml:space="preserve">management flagged — the main source of upside in the segment.</w:t>
      </w:r>
    </w:p>
    <w:p>
      <w:r>
        <w:pict>
          <v:rect style="width:0;height:1.5pt" o:hralign="center" o:hrstd="t" o:hr="t"/>
        </w:pict>
      </w:r>
    </w:p>
    <w:bookmarkEnd w:id="12"/>
    <w:bookmarkStart w:id="13" w:name="other-items-on-the-radar"/>
    <w:p>
      <w:pPr>
        <w:pStyle w:val="Heading2"/>
      </w:pPr>
      <w:r>
        <w:t xml:space="preserve">Other Items on the Radar</w:t>
      </w:r>
    </w:p>
    <w:p>
      <w:pPr>
        <w:pStyle w:val="Compact"/>
        <w:numPr>
          <w:ilvl w:val="0"/>
          <w:numId w:val="1003"/>
        </w:numPr>
      </w:pPr>
      <w:r>
        <w:rPr>
          <w:b/>
          <w:bCs/>
        </w:rPr>
        <w:t xml:space="preserve">Tariffs / Section 232:</w:t>
      </w:r>
      <w:r>
        <w:t xml:space="preserve"> </w:t>
      </w:r>
      <w:r>
        <w:t xml:space="preserve">Management characterizes the net tariff impact as roughly</w:t>
      </w:r>
      <w:r>
        <w:t xml:space="preserve"> </w:t>
      </w:r>
      <w:r>
        <w:rPr>
          <w:b/>
          <w:bCs/>
        </w:rPr>
        <w:t xml:space="preserve">neutral</w:t>
      </w:r>
      <w:r>
        <w:t xml:space="preserve"> </w:t>
      </w:r>
      <w:r>
        <w:t xml:space="preserve">("solved nothing") given Dover's "build-in-region, ship-in-region" model and short supply chains — potentially a modest competitive edge vs. importers.</w:t>
      </w:r>
    </w:p>
    <w:p>
      <w:pPr>
        <w:pStyle w:val="Compact"/>
        <w:numPr>
          <w:ilvl w:val="0"/>
          <w:numId w:val="1003"/>
        </w:numPr>
      </w:pPr>
      <w:r>
        <w:rPr>
          <w:b/>
          <w:bCs/>
        </w:rPr>
        <w:t xml:space="preserve">Pricing:</w:t>
      </w:r>
      <w:r>
        <w:t xml:space="preserve"> </w:t>
      </w:r>
      <w:r>
        <w:t xml:space="preserve">~1.5–2% for the year, largely set at the start of 2026; watch for updates if metals/input costs move.</w:t>
      </w:r>
    </w:p>
    <w:p>
      <w:pPr>
        <w:pStyle w:val="Compact"/>
        <w:numPr>
          <w:ilvl w:val="0"/>
          <w:numId w:val="1003"/>
        </w:numPr>
      </w:pPr>
      <w:r>
        <w:rPr>
          <w:b/>
          <w:bCs/>
        </w:rPr>
        <w:t xml:space="preserve">Capital deployment:</w:t>
      </w:r>
      <w:r>
        <w:t xml:space="preserve"> </w:t>
      </w:r>
      <w:r>
        <w:t xml:space="preserve">M&amp;A pipeline described as "active" but multiples "frustratingly high." Dover did opportunistic buybacks in Q1. SIKORA (acquired June 2025) is running "ahead of underwriting." A bolt-on announcement is possible.</w:t>
      </w:r>
    </w:p>
    <w:p>
      <w:pPr>
        <w:pStyle w:val="Compact"/>
        <w:numPr>
          <w:ilvl w:val="0"/>
          <w:numId w:val="1003"/>
        </w:numPr>
      </w:pPr>
      <w:r>
        <w:rPr>
          <w:b/>
          <w:bCs/>
        </w:rPr>
        <w:t xml:space="preserve">Cost actions:</w:t>
      </w:r>
      <w:r>
        <w:t xml:space="preserve"> </w:t>
      </w:r>
      <w:r>
        <w:t xml:space="preserve">~$40M of rightsizing savings targeted in 2026 with carryover into 2027.</w:t>
      </w:r>
    </w:p>
    <w:p>
      <w:pPr>
        <w:pStyle w:val="Compact"/>
        <w:numPr>
          <w:ilvl w:val="0"/>
          <w:numId w:val="1003"/>
        </w:numPr>
      </w:pPr>
      <w:r>
        <w:rPr>
          <w:b/>
          <w:bCs/>
        </w:rPr>
        <w:t xml:space="preserve">Comp difficulty:</w:t>
      </w:r>
      <w:r>
        <w:t xml:space="preserve"> </w:t>
      </w:r>
      <w:r>
        <w:t xml:space="preserve">Q2 2025 was seasonally one of the strongest quarters (adj. EPS $2.44, 25.1% segment EBITDA margin), so the ~11% EPS growth bar is meaningful, not an easy comp.</w:t>
      </w:r>
    </w:p>
    <w:p>
      <w:r>
        <w:pict>
          <v:rect style="width:0;height:1.5pt" o:hralign="center" o:hrstd="t" o:hr="t"/>
        </w:pict>
      </w:r>
    </w:p>
    <w:bookmarkEnd w:id="13"/>
    <w:bookmarkStart w:id="14" w:name="stock-context"/>
    <w:p>
      <w:pPr>
        <w:pStyle w:val="Heading2"/>
      </w:pPr>
      <w:r>
        <w:t xml:space="preserve">Stock Context</w:t>
      </w:r>
    </w:p>
    <w:p>
      <w:pPr>
        <w:pStyle w:val="FirstParagraph"/>
      </w:pPr>
      <w:r>
        <w:t xml:space="preserve">DOV is</w:t>
      </w:r>
      <w:r>
        <w:t xml:space="preserve"> </w:t>
      </w:r>
      <w:r>
        <w:rPr>
          <w:b/>
          <w:bCs/>
        </w:rPr>
        <w:t xml:space="preserve">~+10% YTD</w:t>
      </w:r>
      <w:r>
        <w:t xml:space="preserve"> </w:t>
      </w:r>
      <w:r>
        <w:t xml:space="preserve">(from ~$196 in early January), but sits roughly **8% below its February high near</w:t>
      </w:r>
      <w:r>
        <w:t xml:space="preserve"> </w:t>
      </w:r>
      <m:oMath>
        <m:r>
          <m:t>233</m:t>
        </m:r>
        <m:r>
          <m:rPr>
            <m:sty m:val="p"/>
          </m:rPr>
          <m:t>*</m:t>
        </m:r>
        <m:r>
          <m:rPr>
            <m:sty m:val="p"/>
          </m:rPr>
          <m:t>*</m:t>
        </m:r>
        <m:r>
          <m:rPr>
            <m:sty m:val="p"/>
          </m:rPr>
          <m:t>.</m:t>
        </m:r>
        <m:r>
          <m:t>S</m:t>
        </m:r>
        <m:r>
          <m:t>h</m:t>
        </m:r>
        <m:r>
          <m:t>a</m:t>
        </m:r>
        <m:r>
          <m:t>r</m:t>
        </m:r>
        <m:r>
          <m:t>e</m:t>
        </m:r>
        <m:r>
          <m:t>s</m:t>
        </m:r>
        <m:r>
          <m:t>j</m:t>
        </m:r>
        <m:r>
          <m:t>u</m:t>
        </m:r>
        <m:r>
          <m:t>m</m:t>
        </m:r>
        <m:r>
          <m:t>p</m:t>
        </m:r>
        <m:r>
          <m:t>e</m:t>
        </m:r>
        <m:r>
          <m:t>d</m:t>
        </m:r>
        <m:r>
          <m:t>a</m:t>
        </m:r>
        <m:r>
          <m:t>f</m:t>
        </m:r>
        <m:r>
          <m:t>t</m:t>
        </m:r>
        <m:r>
          <m:t>e</m:t>
        </m:r>
        <m:r>
          <m:t>r</m:t>
        </m:r>
        <m:r>
          <m:t>t</m:t>
        </m:r>
        <m:r>
          <m:t>h</m:t>
        </m:r>
        <m:r>
          <m:t>e</m:t>
        </m:r>
        <m:r>
          <m:t>s</m:t>
        </m:r>
        <m:r>
          <m:t>t</m:t>
        </m:r>
        <m:r>
          <m:t>r</m:t>
        </m:r>
        <m:r>
          <m:t>o</m:t>
        </m:r>
        <m:r>
          <m:t>n</m:t>
        </m:r>
        <m:r>
          <m:t>g</m:t>
        </m:r>
        <m:r>
          <m:t>Q</m:t>
        </m:r>
        <m:r>
          <m:t>1</m:t>
        </m:r>
        <m:r>
          <m:t>p</m:t>
        </m:r>
        <m:r>
          <m:t>r</m:t>
        </m:r>
        <m:r>
          <m:t>i</m:t>
        </m:r>
        <m:r>
          <m:t>n</m:t>
        </m:r>
        <m:r>
          <m:t>t</m:t>
        </m:r>
        <m:r>
          <m:rPr>
            <m:sty m:val="p"/>
          </m:rPr>
          <m:t>(</m:t>
        </m:r>
        <m:r>
          <m:t>A</m:t>
        </m:r>
        <m:r>
          <m:t>p</m:t>
        </m:r>
        <m:r>
          <m:t>r</m:t>
        </m:r>
        <m:r>
          <m:t>i</m:t>
        </m:r>
        <m:r>
          <m:t>l</m:t>
        </m:r>
        <m:r>
          <m:t>23</m:t>
        </m:r>
        <m:r>
          <m:rPr>
            <m:sty m:val="p"/>
          </m:rPr>
          <m:t>:</m:t>
        </m:r>
        <m:r>
          <m:t> </m:t>
        </m:r>
      </m:oMath>
      <w:r>
        <w:t xml:space="preserve">216 →</w:t>
      </w:r>
      <w:r>
        <w:t xml:space="preserve"> </w:t>
      </w:r>
      <m:oMath>
        <m:r>
          <m:t>228</m:t>
        </m:r>
        <m:r>
          <m:rPr>
            <m:sty m:val="p"/>
          </m:rPr>
          <m:t>)</m:t>
        </m:r>
        <m:r>
          <m:t>b</m:t>
        </m:r>
        <m:r>
          <m:t>e</m:t>
        </m:r>
        <m:r>
          <m:t>f</m:t>
        </m:r>
        <m:r>
          <m:t>o</m:t>
        </m:r>
        <m:r>
          <m:t>r</m:t>
        </m:r>
        <m:r>
          <m:t>e</m:t>
        </m:r>
        <m:r>
          <m:t>d</m:t>
        </m:r>
        <m:r>
          <m:t>r</m:t>
        </m:r>
        <m:r>
          <m:t>i</m:t>
        </m:r>
        <m:r>
          <m:t>f</m:t>
        </m:r>
        <m:r>
          <m:t>t</m:t>
        </m:r>
        <m:r>
          <m:t>i</m:t>
        </m:r>
        <m:r>
          <m:t>n</m:t>
        </m:r>
        <m:r>
          <m:t>g</m:t>
        </m:r>
        <m:r>
          <m:t>b</m:t>
        </m:r>
        <m:r>
          <m:t>a</m:t>
        </m:r>
        <m:r>
          <m:t>c</m:t>
        </m:r>
        <m:r>
          <m:t>k</m:t>
        </m:r>
        <m:r>
          <m:t>t</m:t>
        </m:r>
        <m:r>
          <m:t>o</m:t>
        </m:r>
        <m:r>
          <m:t>t</m:t>
        </m:r>
        <m:r>
          <m:t>h</m:t>
        </m:r>
        <m:r>
          <m:t>e</m:t>
        </m:r>
        <m:r>
          <m:t>l</m:t>
        </m:r>
        <m:r>
          <m:t>o</m:t>
        </m:r>
        <m:r>
          <m:t>w</m:t>
        </m:r>
        <m:r>
          <m:rPr>
            <m:sty m:val="p"/>
          </m:rPr>
          <m:t>−</m:t>
        </m:r>
      </m:oMath>
      <w:r>
        <w:t xml:space="preserve">210s through the summer. The chart implies the market is</w:t>
      </w:r>
      <w:r>
        <w:t xml:space="preserve"> </w:t>
      </w:r>
      <w:r>
        <w:rPr>
          <w:b/>
          <w:bCs/>
        </w:rPr>
        <w:t xml:space="preserve">not fully pricing an aggressive guidance raise</w:t>
      </w:r>
      <w:r>
        <w:t xml:space="preserve"> </w:t>
      </w:r>
      <w:r>
        <w:t xml:space="preserve">— leaving room for upside if management lifts numbers convincingly, but also downside risk if the raise is only "to the top end" and viewed as already discounted.</w:t>
      </w:r>
    </w:p>
    <w:p>
      <w:r>
        <w:pict>
          <v:rect style="width:0;height:1.5pt" o:hralign="center" o:hrstd="t" o:hr="t"/>
        </w:pict>
      </w:r>
    </w:p>
    <w:bookmarkEnd w:id="14"/>
    <w:bookmarkStart w:id="15" w:name="bottom-line"/>
    <w:p>
      <w:pPr>
        <w:pStyle w:val="Heading2"/>
      </w:pPr>
      <w:r>
        <w:t xml:space="preserve">Bottom Line</w:t>
      </w:r>
    </w:p>
    <w:p>
      <w:pPr>
        <w:pStyle w:val="FirstParagraph"/>
      </w:pPr>
      <w:r>
        <w:t xml:space="preserve">Expect a routine Q2 beat (consensus EPS ~</w:t>
      </w:r>
      <m:oMath>
        <m:r>
          <m:t>2.72</m:t>
        </m:r>
        <m:r>
          <m:rPr>
            <m:sty m:val="p"/>
          </m:rPr>
          <m:t>/</m:t>
        </m:r>
        <m:r>
          <m:t>r</m:t>
        </m:r>
        <m:r>
          <m:t>e</m:t>
        </m:r>
        <m:r>
          <m:t>v</m:t>
        </m:r>
        <m:r>
          <m:t>e</m:t>
        </m:r>
        <m:r>
          <m:t>n</m:t>
        </m:r>
        <m:r>
          <m:t>u</m:t>
        </m:r>
        <m:r>
          <m:t>e</m:t>
        </m:r>
        <m:r>
          <m:t> </m:t>
        </m:r>
      </m:oMath>
      <w:r>
        <w:t xml:space="preserve">2.21B). The stock's move will hinge on</w:t>
      </w:r>
      <w:r>
        <w:t xml:space="preserve"> </w:t>
      </w:r>
      <w:r>
        <w:rPr>
          <w:b/>
          <w:bCs/>
        </w:rPr>
        <w:t xml:space="preserve">(1) the size of the full-year guidance raise, (2) whether bookings momentum is confirmed as durable rather than pull-forward, and (3) evidence that CST margins are inflecting as the facility consolidation wraps.</w:t>
      </w:r>
      <w:r>
        <w:t xml:space="preserve"> </w:t>
      </w:r>
      <w:r>
        <w:t xml:space="preserve">With record orders, a &gt;$1B AI/power revenue tailwind, and a self-described conservative guide, the setup skews constructive — but with shares below their highs and a strong year-ago comp, execution and guidance credibility are what matter.</w:t>
      </w:r>
    </w:p>
    <w:p>
      <w:pPr>
        <w:pStyle w:val="BodyText"/>
      </w:pPr>
      <w:r>
        <w:rPr>
          <w:i/>
          <w:iCs/>
        </w:rPr>
        <w:t xml:space="preserve">Note: A few figures (analyst consensus, the implied Q2 EPS guide, and the confirmed July 23 report date) are drawn from public commentary and news sources; segment, bookings, guidance, and margin figures are from Dover's own Q1 2026 release and earnings call.</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2026-07-23T00:40:37Z</dcterms:created>
  <dcterms:modified xsi:type="dcterms:W3CDTF">2026-07-23T00:40:37Z</dcterms:modified>
</cp:coreProperties>
</file>

<file path=docProps/custom.xml><?xml version="1.0" encoding="utf-8"?>
<Properties xmlns="http://schemas.openxmlformats.org/officeDocument/2006/custom-properties" xmlns:vt="http://schemas.openxmlformats.org/officeDocument/2006/docPropsVTypes"/>
</file>