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v-earnings-predictions--2026-07-23"/>
    <w:p>
      <w:pPr>
        <w:pStyle w:val="Heading1"/>
      </w:pPr>
      <w:r>
        <w:t xml:space="preserve">DOV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~$2.24B vs. cons $2.21B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~$2.76 vs. cons $2.72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Climate &amp; Sustainability Technologies segment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~$466M vs. cons $459M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10.65</m:t>
              </m:r>
              <m:r>
                <m:rPr>
                  <m:sty m:val="p"/>
                </m:rPr>
                <m:t>−</m:t>
              </m:r>
            </m:oMath>
            <w:r>
              <w:t xml:space="preserve">10.85 vs. cons/prior guide</w:t>
            </w:r>
            <w:r>
              <w:t xml:space="preserve"> </w:t>
            </w:r>
            <m:oMath>
              <m:r>
                <m:t>10.45</m:t>
              </m:r>
              <m:r>
                <m:rPr>
                  <m:sty m:val="p"/>
                </m:rPr>
                <m:t>−</m:t>
              </m:r>
            </m:oMath>
            <w:r>
              <w:t xml:space="preserve">10.65 midpoint $10.55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~7-8% vs. prior guide 5-7% midpoint 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~4-6% vs. prior guide 3-5% midpoint 4%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A guidance raise off record Q1 bookings (book-to-bill 1.2x, all five segments &gt;1.0) should trigger upward FY26/FY27 EPS revisions across sell-side models even if headline Q2 beat is modest, since management explicitly pre-committed to 'revisit' guidance; this out-period estimate lift plus CST margin-inflection timing (redundant CO2 facility costs rolling off) supports continued drift higher over the week. Risk of fade exists if analysts flag the bookings-to-revenue conversion lag or if PPS midstream/compression demand still hasn't shown up in orders, capping upside versus a cleaner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2026-07-23T00:41:27Z</dcterms:created>
  <dcterms:modified xsi:type="dcterms:W3CDTF">2026-07-23T00:41:27Z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