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ov-earnings-predictions--2026-07-23"/>
    <w:p>
      <w:pPr>
        <w:pStyle w:val="Heading1"/>
      </w:pPr>
      <w:r>
        <w:t xml:space="preserve">DOV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~$2.78 vs. cons $2.72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~$2.25B vs. cons $2.21B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segment EBITDA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~25.4% vs. cons 25.2%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~$10.75 midpoint vs. cons $10.63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~5.0% midpoint vs. cons 4.8%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DOV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+4.8% (FOLLOW-THROUGH)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10.75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5.06 H1 adjusted EPS imply ~</w:t>
            </w:r>
            <m:oMath>
              <m:r>
                <m:t>5.69</m:t>
              </m:r>
              <m:r>
                <m:t>o</m:t>
              </m:r>
              <m:r>
                <m:t>f</m:t>
              </m:r>
              <m:r>
                <m:t>H</m:t>
              </m:r>
              <m:r>
                <m:t>2</m:t>
              </m:r>
              <m:r>
                <m:t>E</m:t>
              </m:r>
              <m:r>
                <m:t>P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−</m:t>
              </m:r>
              <m:r>
                <m:t>r</m:t>
              </m:r>
              <m:r>
                <m:t>e</m:t>
              </m:r>
              <m:r>
                <m:t>p</m:t>
              </m:r>
              <m:r>
                <m:t>o</m:t>
              </m:r>
              <m:r>
                <m:t>r</m:t>
              </m:r>
              <m:r>
                <m:t>t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r</m:t>
              </m:r>
              <m:r>
                <m:t>e</m:t>
              </m:r>
              <m:r>
                <m:t>q</m:t>
              </m:r>
              <m:r>
                <m:t>u</m:t>
              </m:r>
              <m:r>
                <m:t>i</m:t>
              </m:r>
              <m:r>
                <m:t>r</m:t>
              </m:r>
              <m:r>
                <m:t>e</m:t>
              </m:r>
              <m:r>
                <m:t>m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5.63, supporting modest positive out-period revisions after the initial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2026-07-23T00:40:55Z</dcterms:created>
  <dcterms:modified xsi:type="dcterms:W3CDTF">2026-07-23T00:40:55Z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