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dover-nyse-dov--2026-q2-earnings-preview"/>
    <w:p>
      <w:pPr>
        <w:pStyle w:val="Heading1"/>
      </w:pPr>
      <w:r>
        <w:t xml:space="preserve">Dover (NYSE: DOV) — 2026 Q2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July 23, 2026 is the scheduled reporting date—not tomorrow under the provided calendar. Dover expects to release results at approximately</w:t>
      </w:r>
      <w:r>
        <w:t xml:space="preserve"> </w:t>
      </w:r>
      <w:r>
        <w:rPr>
          <w:b/>
          <w:bCs/>
        </w:rPr>
        <w:t xml:space="preserve">7:00 a.m. ET</w:t>
      </w:r>
      <w:r>
        <w:t xml:space="preserve">, followed by its earnings call at</w:t>
      </w:r>
      <w:r>
        <w:t xml:space="preserve"> </w:t>
      </w:r>
      <w:r>
        <w:rPr>
          <w:b/>
          <w:bCs/>
        </w:rPr>
        <w:t xml:space="preserve">9:30 a.m. ET</w:t>
      </w:r>
      <w:r>
        <w:t xml:space="preserve"> </w:t>
      </w:r>
      <w:r>
        <w:t xml:space="preserve">on Thursday, July 23. (</w:t>
      </w:r>
      <w:hyperlink r:id="rId9">
        <w:r>
          <w:rPr>
            <w:rStyle w:val="Hyperlink"/>
          </w:rPr>
          <w:t xml:space="preserve">investors.dovercorporation.com</w:t>
        </w:r>
      </w:hyperlink>
      <w:r>
        <w:t xml:space="preserve">)</w:t>
      </w:r>
    </w:p>
    <w:bookmarkStart w:id="11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Dover enters Q2 with unusually strong order visibility and management already signaling that its original full-year outlook may be conservative. The central question is therefore</w:t>
      </w:r>
      <w:r>
        <w:t xml:space="preserve"> </w:t>
      </w:r>
      <w:r>
        <w:rPr>
          <w:b/>
          <w:bCs/>
        </w:rPr>
        <w:t xml:space="preserve">not simply whether Dover beats quarterly consensus</w:t>
      </w:r>
      <w:r>
        <w:t xml:space="preserve">, but whether Q1’s 24% bookings growth begins converting into revenue, margins and a higher 2026 forecast.</w:t>
      </w:r>
    </w:p>
    <w:p>
      <w:pPr>
        <w:pStyle w:val="BodyText"/>
      </w:pPr>
      <w:r>
        <w:t xml:space="preserve">Current consensus calls for approximately: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$2.21 billion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$2.05 billion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$2.44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~11%</w:t>
            </w:r>
          </w:p>
        </w:tc>
      </w:tr>
    </w:tbl>
    <w:p>
      <w:pPr>
        <w:pStyle w:val="BodyText"/>
      </w:pPr>
      <w:r>
        <w:t xml:space="preserve">The estimates imply another quarter of double-digit EPS growth, supported by organic volume, acquisitions and operating leverage. (</w:t>
      </w:r>
      <w:hyperlink r:id="rId10">
        <w:r>
          <w:rPr>
            <w:rStyle w:val="Hyperlink"/>
          </w:rPr>
          <w:t xml:space="preserve">zacks.com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Our read:</w:t>
      </w:r>
      <w:r>
        <w:t xml:space="preserve"> </w:t>
      </w:r>
      <w:r>
        <w:t xml:space="preserve">Expectations are elevated but achievable. A clean beat accompanied by higher organic-growth guidance would validate Dover’s increasing exposure to data-center cooling, power generation, CO2 refrigeration and other secular-growth markets. Conversely, simply reaffirming guidance—particularly without evidence of better margin conversion—could be viewed as underwhelming given management’s bullish Q1 commentary.</w:t>
      </w:r>
    </w:p>
    <w:p>
      <w:r>
        <w:pict>
          <v:rect style="width:0;height:1.5pt" o:hralign="center" o:hrstd="t" o:hr="t"/>
        </w:pict>
      </w:r>
    </w:p>
    <w:bookmarkEnd w:id="11"/>
    <w:bookmarkStart w:id="13" w:name="what-dover-established-in-q1"/>
    <w:p>
      <w:pPr>
        <w:pStyle w:val="Heading2"/>
      </w:pPr>
      <w:r>
        <w:t xml:space="preserve">What Dover established in Q1</w:t>
      </w:r>
    </w:p>
    <w:p>
      <w:pPr>
        <w:pStyle w:val="FirstParagraph"/>
      </w:pPr>
      <w:r>
        <w:t xml:space="preserve">Dover’s first quarter was defined by order strength:</w:t>
      </w:r>
    </w:p>
    <w:p>
      <w:pPr>
        <w:pStyle w:val="Compact"/>
        <w:numPr>
          <w:ilvl w:val="0"/>
          <w:numId w:val="1001"/>
        </w:numPr>
      </w:pPr>
      <w:r>
        <w:t xml:space="preserve">Revenue increased</w:t>
      </w:r>
      <w:r>
        <w:t xml:space="preserve"> </w:t>
      </w:r>
      <w:r>
        <w:rPr>
          <w:b/>
          <w:bCs/>
        </w:rPr>
        <w:t xml:space="preserve">10%</w:t>
      </w:r>
      <w:r>
        <w:t xml:space="preserve">, including</w:t>
      </w:r>
      <w:r>
        <w:t xml:space="preserve"> </w:t>
      </w:r>
      <w:r>
        <w:rPr>
          <w:b/>
          <w:bCs/>
        </w:rPr>
        <w:t xml:space="preserve">5% organic growth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Adjusted EPS rose</w:t>
      </w:r>
      <w:r>
        <w:t xml:space="preserve"> </w:t>
      </w:r>
      <w:r>
        <w:rPr>
          <w:b/>
          <w:bCs/>
        </w:rPr>
        <w:t xml:space="preserve">11% to $2.28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Bookings increased</w:t>
      </w:r>
      <w:r>
        <w:t xml:space="preserve"> </w:t>
      </w:r>
      <w:r>
        <w:rPr>
          <w:b/>
          <w:bCs/>
        </w:rPr>
        <w:t xml:space="preserve">24% to approximately $2.5 billion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Consolidated book-to-bill reached</w:t>
      </w:r>
      <w:r>
        <w:t xml:space="preserve"> </w:t>
      </w:r>
      <w:r>
        <w:rPr>
          <w:b/>
          <w:bCs/>
        </w:rPr>
        <w:t xml:space="preserve">1.20x</w:t>
      </w:r>
      <w:r>
        <w:t xml:space="preserve">, with every segment above 1.0x.</w:t>
      </w:r>
    </w:p>
    <w:p>
      <w:pPr>
        <w:pStyle w:val="Compact"/>
        <w:numPr>
          <w:ilvl w:val="0"/>
          <w:numId w:val="1001"/>
        </w:numPr>
      </w:pPr>
      <w:r>
        <w:t xml:space="preserve">Management maintained 2026 guidance of</w:t>
      </w:r>
      <w:r>
        <w:t xml:space="preserve"> </w:t>
      </w:r>
      <w:r>
        <w:rPr>
          <w:b/>
          <w:bCs/>
        </w:rPr>
        <w:t xml:space="preserve">5%–7% total revenue growth</w:t>
      </w:r>
      <w:r>
        <w:t xml:space="preserve">,</w:t>
      </w:r>
      <w:r>
        <w:t xml:space="preserve"> </w:t>
      </w:r>
      <w:r>
        <w:rPr>
          <w:b/>
          <w:bCs/>
        </w:rPr>
        <w:t xml:space="preserve">3%–5% organic growth</w:t>
      </w:r>
      <w:r>
        <w:t xml:space="preserve"> </w:t>
      </w:r>
      <w:r>
        <w:t xml:space="preserve">and</w:t>
      </w:r>
      <w:r>
        <w:t xml:space="preserve"> </w:t>
      </w:r>
      <m:oMath>
        <m:r>
          <m:t>10.45</m:t>
        </m:r>
        <m:r>
          <m:rPr>
            <m:sty m:val="p"/>
          </m:rPr>
          <m:t>–</m:t>
        </m:r>
      </m:oMath>
      <w:r>
        <w:rPr>
          <w:b/>
          <w:bCs/>
        </w:rPr>
        <w:t xml:space="preserve">10.65 adjusted EPS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Management said it was clearly driving toward the top of the guidance range and would revisit the outlook following Q2 if order trends remained healthy. (</w:t>
      </w:r>
      <w:hyperlink r:id="rId12">
        <w:r>
          <w:rPr>
            <w:rStyle w:val="Hyperlink"/>
          </w:rPr>
          <w:t xml:space="preserve">investors.dovercorporation.com</w:t>
        </w:r>
      </w:hyperlink>
      <w:r>
        <w:t xml:space="preserve">)</w:t>
      </w:r>
    </w:p>
    <w:p>
      <w:pPr>
        <w:pStyle w:val="FirstParagraph"/>
      </w:pPr>
      <w:r>
        <w:t xml:space="preserve">The main caveat is timing. Management warned investors not to place all of the Q1 bookings upside into Q2 revenue because customers were placing longer-dated orders to reserve constrained production capacity. Some orders extended into Q3 and beyond, particularly in heat exchangers, CO2 refrigeration and aerospace and defense.</w:t>
      </w:r>
    </w:p>
    <w:p>
      <w:pPr>
        <w:pStyle w:val="BodyText"/>
      </w:pPr>
      <w:r>
        <w:t xml:space="preserve">That makes</w:t>
      </w:r>
      <w:r>
        <w:t xml:space="preserve"> </w:t>
      </w:r>
      <w:r>
        <w:rPr>
          <w:b/>
          <w:bCs/>
        </w:rPr>
        <w:t xml:space="preserve">bookings conversion and delivery capacity</w:t>
      </w:r>
      <w:r>
        <w:t xml:space="preserve"> </w:t>
      </w:r>
      <w:r>
        <w:t xml:space="preserve">more important than the headline Q2 order-growth percentage.</w:t>
      </w:r>
    </w:p>
    <w:p>
      <w:r>
        <w:pict>
          <v:rect style="width:0;height:1.5pt" o:hralign="center" o:hrstd="t" o:hr="t"/>
        </w:pict>
      </w:r>
    </w:p>
    <w:bookmarkEnd w:id="13"/>
    <w:bookmarkStart w:id="25" w:name="X45c22c0a3b9274a3cc06857c639deae0f581b4f"/>
    <w:p>
      <w:pPr>
        <w:pStyle w:val="Heading2"/>
      </w:pPr>
      <w:r>
        <w:t xml:space="preserve">The five issues that should determine the reaction</w:t>
      </w:r>
    </w:p>
    <w:bookmarkStart w:id="14" w:name="X6f2840aa23557a3bbbccc12018146995db462cb"/>
    <w:p>
      <w:pPr>
        <w:pStyle w:val="Heading3"/>
      </w:pPr>
      <w:r>
        <w:t xml:space="preserve">1. Will management raise full-year guidance?</w:t>
      </w:r>
    </w:p>
    <w:p>
      <w:pPr>
        <w:pStyle w:val="FirstParagraph"/>
      </w:pPr>
      <w:r>
        <w:t xml:space="preserve">This is the most important item.</w:t>
      </w:r>
    </w:p>
    <w:p>
      <w:pPr>
        <w:pStyle w:val="BodyText"/>
      </w:pPr>
      <w:r>
        <w:t xml:space="preserve">The current adjusted-EPS range of</w:t>
      </w:r>
      <w:r>
        <w:t xml:space="preserve"> </w:t>
      </w:r>
      <m:oMath>
        <m:r>
          <m:t>10.45</m:t>
        </m:r>
        <m:r>
          <m:rPr>
            <m:sty m:val="p"/>
          </m:rPr>
          <m:t>–</m:t>
        </m:r>
      </m:oMath>
      <w:r>
        <w:rPr>
          <w:b/>
          <w:bCs/>
        </w:rPr>
        <w:t xml:space="preserve">10.65</w:t>
      </w:r>
      <w:r>
        <w:t xml:space="preserve"> </w:t>
      </w:r>
      <w:r>
        <w:t xml:space="preserve">implies approximately</w:t>
      </w:r>
      <w:r>
        <w:t xml:space="preserve"> </w:t>
      </w:r>
      <w:r>
        <w:rPr>
          <w:b/>
          <w:bCs/>
        </w:rPr>
        <w:t xml:space="preserve">$8.27 of EPS after Q1</w:t>
      </w:r>
      <w:r>
        <w:t xml:space="preserve"> </w:t>
      </w:r>
      <w:r>
        <w:t xml:space="preserve">at the midpoint. If Dover earns the consensus</w:t>
      </w:r>
      <w:r>
        <w:t xml:space="preserve"> </w:t>
      </w:r>
      <m:oMath>
        <m:r>
          <m:t>2.72</m:t>
        </m:r>
        <m:r>
          <m:t>i</m:t>
        </m:r>
        <m:r>
          <m:t>n</m:t>
        </m:r>
        <m:r>
          <m:t>Q</m:t>
        </m:r>
        <m:r>
          <m:t>2</m:t>
        </m:r>
        <m:r>
          <m:rPr>
            <m:sty m:val="p"/>
          </m:rPr>
          <m:t>,</m:t>
        </m:r>
        <m:r>
          <m:t>i</m:t>
        </m:r>
        <m:r>
          <m:t>t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n</m:t>
        </m:r>
        <m:r>
          <m:t>e</m:t>
        </m:r>
        <m:r>
          <m:t>e</m:t>
        </m:r>
        <m:r>
          <m:t>d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5.55 in the second half**, or an average of $2.78 per quarter. That represents roughly 8% growth from the $5.13 generated in Q3 and Q4 of 2025.</w:t>
      </w:r>
    </w:p>
    <w:p>
      <w:pPr>
        <w:pStyle w:val="BodyText"/>
      </w:pPr>
      <w:r>
        <w:t xml:space="preserve">That hurdle appears reasonable if:</w:t>
      </w:r>
    </w:p>
    <w:p>
      <w:pPr>
        <w:pStyle w:val="Compact"/>
        <w:numPr>
          <w:ilvl w:val="0"/>
          <w:numId w:val="1002"/>
        </w:numPr>
      </w:pPr>
      <w:r>
        <w:t xml:space="preserve">Q1 orders convert as planned;</w:t>
      </w:r>
    </w:p>
    <w:p>
      <w:pPr>
        <w:pStyle w:val="Compact"/>
        <w:numPr>
          <w:ilvl w:val="0"/>
          <w:numId w:val="1002"/>
        </w:numPr>
      </w:pPr>
      <w:r>
        <w:t xml:space="preserve">Climate margins improve following facility consolidation;</w:t>
      </w:r>
    </w:p>
    <w:p>
      <w:pPr>
        <w:pStyle w:val="Compact"/>
        <w:numPr>
          <w:ilvl w:val="0"/>
          <w:numId w:val="1002"/>
        </w:numPr>
      </w:pPr>
      <w:r>
        <w:t xml:space="preserve">Clean Energy &amp; Fueling gets better volume leverage;</w:t>
      </w:r>
    </w:p>
    <w:p>
      <w:pPr>
        <w:pStyle w:val="Compact"/>
        <w:numPr>
          <w:ilvl w:val="0"/>
          <w:numId w:val="1002"/>
        </w:numPr>
      </w:pPr>
      <w:r>
        <w:t xml:space="preserve">price remains ahead of—or at least neutral to—input costs; and</w:t>
      </w:r>
    </w:p>
    <w:p>
      <w:pPr>
        <w:pStyle w:val="Compact"/>
        <w:numPr>
          <w:ilvl w:val="0"/>
          <w:numId w:val="1002"/>
        </w:numPr>
      </w:pPr>
      <w:r>
        <w:t xml:space="preserve">restructuring savings arrive on schedule.</w:t>
      </w:r>
    </w:p>
    <w:p>
      <w:pPr>
        <w:pStyle w:val="FirstParagraph"/>
      </w:pPr>
      <w:r>
        <w:t xml:space="preserve">Dover previously said Q1 order rates placed it on a path toward the top of guidance. Consequently, investors will probably expect at least one of the following:</w:t>
      </w:r>
    </w:p>
    <w:p>
      <w:pPr>
        <w:pStyle w:val="Compact"/>
        <w:numPr>
          <w:ilvl w:val="0"/>
          <w:numId w:val="1003"/>
        </w:numPr>
      </w:pPr>
      <w:r>
        <w:t xml:space="preserve">Organic-growth guidance raised above</w:t>
      </w:r>
      <w:r>
        <w:t xml:space="preserve"> </w:t>
      </w:r>
      <w:r>
        <w:rPr>
          <w:b/>
          <w:bCs/>
        </w:rPr>
        <w:t xml:space="preserve">3%–5%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adjusted EPS moved toward or above the current high end;</w:t>
      </w:r>
    </w:p>
    <w:p>
      <w:pPr>
        <w:pStyle w:val="Compact"/>
        <w:numPr>
          <w:ilvl w:val="0"/>
          <w:numId w:val="1003"/>
        </w:numPr>
      </w:pPr>
      <w:r>
        <w:t xml:space="preserve">segment outlooks upgraded, especially Climate &amp; Sustainability; or</w:t>
      </w:r>
    </w:p>
    <w:p>
      <w:pPr>
        <w:pStyle w:val="Compact"/>
        <w:numPr>
          <w:ilvl w:val="0"/>
          <w:numId w:val="1003"/>
        </w:numPr>
      </w:pPr>
      <w:r>
        <w:t xml:space="preserve">explicit commentary that the company is tracking above the midpoint despite retaining the formal range.</w:t>
      </w:r>
    </w:p>
    <w:p>
      <w:pPr>
        <w:pStyle w:val="FirstParagraph"/>
      </w:pPr>
      <w:r>
        <w:t xml:space="preserve">A beat paired with an unchanged outlook could still work if management attributes the conservatism to capacity timing or macro uncertainty. A weak explanation would make the guidance look less credible.</w:t>
      </w:r>
    </w:p>
    <w:p>
      <w:r>
        <w:pict>
          <v:rect style="width:0;height:1.5pt" o:hralign="center" o:hrstd="t" o:hr="t"/>
        </w:pict>
      </w:r>
    </w:p>
    <w:bookmarkEnd w:id="14"/>
    <w:bookmarkStart w:id="17" w:name="Xc48ef96eb185a315e19f09a6563058362c02560"/>
    <w:p>
      <w:pPr>
        <w:pStyle w:val="Heading3"/>
      </w:pPr>
      <w:r>
        <w:t xml:space="preserve">2. Climate &amp; Sustainability is the swing segment</w:t>
      </w:r>
    </w:p>
    <w:p>
      <w:pPr>
        <w:pStyle w:val="FirstParagraph"/>
      </w:pPr>
      <w:r>
        <w:t xml:space="preserve">Climate &amp; Sustainability Technologies was the standout in Q1:</w:t>
      </w:r>
    </w:p>
    <w:p>
      <w:pPr>
        <w:pStyle w:val="Compact"/>
        <w:numPr>
          <w:ilvl w:val="0"/>
          <w:numId w:val="1004"/>
        </w:numPr>
      </w:pPr>
      <w:r>
        <w:t xml:space="preserve">Organic revenue increased</w:t>
      </w:r>
      <w:r>
        <w:t xml:space="preserve"> </w:t>
      </w:r>
      <w:r>
        <w:rPr>
          <w:b/>
          <w:bCs/>
        </w:rPr>
        <w:t xml:space="preserve">15%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Bookings jumped</w:t>
      </w:r>
      <w:r>
        <w:t xml:space="preserve"> </w:t>
      </w:r>
      <w:r>
        <w:rPr>
          <w:b/>
          <w:bCs/>
        </w:rPr>
        <w:t xml:space="preserve">64%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Book-to-bill reached</w:t>
      </w:r>
      <w:r>
        <w:t xml:space="preserve"> </w:t>
      </w:r>
      <w:r>
        <w:rPr>
          <w:b/>
          <w:bCs/>
        </w:rPr>
        <w:t xml:space="preserve">1.57x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Demand was strong in heat exchangers, CO2 refrigeration systems and refrigerated door cases. (</w:t>
      </w:r>
      <w:hyperlink r:id="rId12">
        <w:r>
          <w:rPr>
            <w:rStyle w:val="Hyperlink"/>
          </w:rPr>
          <w:t xml:space="preserve">investors.dovercorporation.com</w:t>
        </w:r>
      </w:hyperlink>
      <w:r>
        <w:t xml:space="preserve">)</w:t>
      </w:r>
    </w:p>
    <w:p>
      <w:pPr>
        <w:pStyle w:val="FirstParagraph"/>
      </w:pPr>
      <w:r>
        <w:t xml:space="preserve">Two themes matter:</w:t>
      </w:r>
    </w:p>
    <w:bookmarkStart w:id="15" w:name="data-center-liquid-cooling"/>
    <w:p>
      <w:pPr>
        <w:pStyle w:val="Heading4"/>
      </w:pPr>
      <w:r>
        <w:t xml:space="preserve">Data-center liquid cooling</w:t>
      </w:r>
    </w:p>
    <w:p>
      <w:pPr>
        <w:pStyle w:val="FirstParagraph"/>
      </w:pPr>
      <w:r>
        <w:t xml:space="preserve">Dover sells heat exchangers and connectors used in high-density computing and liquid-cooling applications. Management described extended lead times and ongoing capacity additions, with customer demand exceeding current supply in some areas.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5"/>
        </w:numPr>
      </w:pPr>
      <w:r>
        <w:t xml:space="preserve">continued double-digit heat-exchanger growth;</w:t>
      </w:r>
    </w:p>
    <w:p>
      <w:pPr>
        <w:pStyle w:val="Compact"/>
        <w:numPr>
          <w:ilvl w:val="0"/>
          <w:numId w:val="1005"/>
        </w:numPr>
      </w:pPr>
      <w:r>
        <w:t xml:space="preserve">order visibility into 2027;</w:t>
      </w:r>
    </w:p>
    <w:p>
      <w:pPr>
        <w:pStyle w:val="Compact"/>
        <w:numPr>
          <w:ilvl w:val="0"/>
          <w:numId w:val="1005"/>
        </w:numPr>
      </w:pPr>
      <w:r>
        <w:t xml:space="preserve">additional capacity commitments;</w:t>
      </w:r>
    </w:p>
    <w:p>
      <w:pPr>
        <w:pStyle w:val="Compact"/>
        <w:numPr>
          <w:ilvl w:val="0"/>
          <w:numId w:val="1005"/>
        </w:numPr>
      </w:pPr>
      <w:r>
        <w:t xml:space="preserve">whether bottlenecks are internal or supplier-related; and</w:t>
      </w:r>
    </w:p>
    <w:p>
      <w:pPr>
        <w:pStyle w:val="Compact"/>
        <w:numPr>
          <w:ilvl w:val="0"/>
          <w:numId w:val="1005"/>
        </w:numPr>
      </w:pPr>
      <w:r>
        <w:t xml:space="preserve">evidence that Dover is gaining content per data-center project rather than merely benefiting from industry growth.</w:t>
      </w:r>
    </w:p>
    <w:bookmarkEnd w:id="15"/>
    <w:bookmarkStart w:id="16" w:name="co2-refrigeration-and-door-cases"/>
    <w:p>
      <w:pPr>
        <w:pStyle w:val="Heading4"/>
      </w:pPr>
      <w:r>
        <w:t xml:space="preserve">CO2 refrigeration and door cases</w:t>
      </w:r>
    </w:p>
    <w:p>
      <w:pPr>
        <w:pStyle w:val="FirstParagraph"/>
      </w:pPr>
      <w:r>
        <w:t xml:space="preserve">North American adoption of natural-refrigerant systems remains below 10%, according to Dover, leaving a potentially long runway. Door-case demand is also recovering after customer delays in 2025. (</w:t>
      </w:r>
      <w:hyperlink r:id="rId12">
        <w:r>
          <w:rPr>
            <w:rStyle w:val="Hyperlink"/>
          </w:rPr>
          <w:t xml:space="preserve">investors.dovercorporation.com</w:t>
        </w:r>
      </w:hyperlink>
      <w:r>
        <w:t xml:space="preserve">)</w:t>
      </w:r>
    </w:p>
    <w:p>
      <w:pPr>
        <w:pStyle w:val="BodyText"/>
      </w:pPr>
      <w:r>
        <w:t xml:space="preserve">The margin story is just as important as revenue. Dover carried redundant costs while consolidating refrigeration facilities and suggested those costs should begin falling around midyear, setting up stronger second-half incremental margins. Investors should look for confirmation that the consolidation is complete—or at least close enough to support the anticipated H2 margin inflection.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5013a92a079509d42a4111d1f57e903d0cda33b"/>
    <w:p>
      <w:pPr>
        <w:pStyle w:val="Heading3"/>
      </w:pPr>
      <w:r>
        <w:t xml:space="preserve">3. Can margins finally catch up with the growth?</w:t>
      </w:r>
    </w:p>
    <w:p>
      <w:pPr>
        <w:pStyle w:val="FirstParagraph"/>
      </w:pPr>
      <w:r>
        <w:t xml:space="preserve">Q1 revenue rose 10%, but adjusted segment EBITDA margin expanded only about 10 basis points to 24.1%. Rapid production ramps, unfavorable mix and temporary redundant costs limited conversion. (</w:t>
      </w:r>
      <w:hyperlink r:id="rId12">
        <w:r>
          <w:rPr>
            <w:rStyle w:val="Hyperlink"/>
          </w:rPr>
          <w:t xml:space="preserve">investors.dovercorporation.com</w:t>
        </w:r>
      </w:hyperlink>
      <w:r>
        <w:t xml:space="preserve">)</w:t>
      </w:r>
    </w:p>
    <w:p>
      <w:pPr>
        <w:pStyle w:val="BodyText"/>
      </w:pPr>
      <w:r>
        <w:t xml:space="preserve">Q2 should be a better test because:</w:t>
      </w:r>
    </w:p>
    <w:p>
      <w:pPr>
        <w:pStyle w:val="Compact"/>
        <w:numPr>
          <w:ilvl w:val="0"/>
          <w:numId w:val="1006"/>
        </w:numPr>
      </w:pPr>
      <w:r>
        <w:t xml:space="preserve">volume is seasonally higher;</w:t>
      </w:r>
    </w:p>
    <w:p>
      <w:pPr>
        <w:pStyle w:val="Compact"/>
        <w:numPr>
          <w:ilvl w:val="0"/>
          <w:numId w:val="1006"/>
        </w:numPr>
      </w:pPr>
      <w:r>
        <w:t xml:space="preserve">pricing actions should be more fully reflected;</w:t>
      </w:r>
    </w:p>
    <w:p>
      <w:pPr>
        <w:pStyle w:val="Compact"/>
        <w:numPr>
          <w:ilvl w:val="0"/>
          <w:numId w:val="1006"/>
        </w:numPr>
      </w:pPr>
      <w:r>
        <w:t xml:space="preserve">Clean Energy &amp; Fueling should receive volume leverage;</w:t>
      </w:r>
    </w:p>
    <w:p>
      <w:pPr>
        <w:pStyle w:val="Compact"/>
        <w:numPr>
          <w:ilvl w:val="0"/>
          <w:numId w:val="1006"/>
        </w:numPr>
      </w:pPr>
      <w:r>
        <w:t xml:space="preserve">Climate should begin shedding duplicate fixed costs; and</w:t>
      </w:r>
    </w:p>
    <w:p>
      <w:pPr>
        <w:pStyle w:val="Compact"/>
        <w:numPr>
          <w:ilvl w:val="0"/>
          <w:numId w:val="1006"/>
        </w:numPr>
      </w:pPr>
      <w:r>
        <w:t xml:space="preserve">restructuring programs are expected to generate more than</w:t>
      </w:r>
      <w:r>
        <w:t xml:space="preserve"> </w:t>
      </w:r>
      <w:r>
        <w:rPr>
          <w:b/>
          <w:bCs/>
        </w:rPr>
        <w:t xml:space="preserve">$40 million of 2026 savings</w:t>
      </w:r>
      <w:r>
        <w:t xml:space="preserve">, with additional carryover into 2027. (</w:t>
      </w:r>
      <w:hyperlink r:id="rId12">
        <w:r>
          <w:rPr>
            <w:rStyle w:val="Hyperlink"/>
          </w:rPr>
          <w:t xml:space="preserve">investors.dovercorporation.com</w:t>
        </w:r>
      </w:hyperlink>
      <w:r>
        <w:t xml:space="preserve">)</w:t>
      </w:r>
    </w:p>
    <w:p>
      <w:pPr>
        <w:pStyle w:val="FirstParagraph"/>
      </w:pPr>
      <w:r>
        <w:t xml:space="preserve">The year-ago Q2 adjusted segment EBITDA margin was approximately</w:t>
      </w:r>
      <w:r>
        <w:t xml:space="preserve"> </w:t>
      </w:r>
      <w:r>
        <w:rPr>
          <w:b/>
          <w:bCs/>
        </w:rPr>
        <w:t xml:space="preserve">25.1%</w:t>
      </w:r>
      <w:r>
        <w:t xml:space="preserve">, creating a meaningful comparison. A strong report should show Dover moving closer to—or above—that level while supporting continued expansion in the second half.</w:t>
      </w:r>
    </w:p>
    <w:p>
      <w:pPr>
        <w:pStyle w:val="BodyText"/>
      </w:pPr>
      <w:r>
        <w:t xml:space="preserve">Watch for any conflict between:</w:t>
      </w:r>
    </w:p>
    <w:p>
      <w:pPr>
        <w:pStyle w:val="Compact"/>
        <w:numPr>
          <w:ilvl w:val="0"/>
          <w:numId w:val="1007"/>
        </w:numPr>
      </w:pPr>
      <w:r>
        <w:t xml:space="preserve">strong volume and poor incremental margins;</w:t>
      </w:r>
    </w:p>
    <w:p>
      <w:pPr>
        <w:pStyle w:val="Compact"/>
        <w:numPr>
          <w:ilvl w:val="0"/>
          <w:numId w:val="1007"/>
        </w:numPr>
      </w:pPr>
      <w:r>
        <w:t xml:space="preserve">acquisition growth and weak organic profitability;</w:t>
      </w:r>
    </w:p>
    <w:p>
      <w:pPr>
        <w:pStyle w:val="Compact"/>
        <w:numPr>
          <w:ilvl w:val="0"/>
          <w:numId w:val="1007"/>
        </w:numPr>
      </w:pPr>
      <w:r>
        <w:t xml:space="preserve">pricing and commodity inflation; or</w:t>
      </w:r>
    </w:p>
    <w:p>
      <w:pPr>
        <w:pStyle w:val="Compact"/>
        <w:numPr>
          <w:ilvl w:val="0"/>
          <w:numId w:val="1007"/>
        </w:numPr>
      </w:pPr>
      <w:r>
        <w:t xml:space="preserve">capacity additions and higher-than-expected startup costs.</w:t>
      </w:r>
    </w:p>
    <w:p>
      <w:r>
        <w:pict>
          <v:rect style="width:0;height:1.5pt" o:hralign="center" o:hrstd="t" o:hr="t"/>
        </w:pict>
      </w:r>
    </w:p>
    <w:bookmarkEnd w:id="18"/>
    <w:bookmarkStart w:id="23" w:name="X69d0f083ab6db83c009ef9dd1ba061af243151f"/>
    <w:p>
      <w:pPr>
        <w:pStyle w:val="Heading3"/>
      </w:pPr>
      <w:r>
        <w:t xml:space="preserve">4. Are the other four segments broadening the growth story?</w:t>
      </w:r>
    </w:p>
    <w:bookmarkStart w:id="19" w:name="clean-energy--fueling"/>
    <w:p>
      <w:pPr>
        <w:pStyle w:val="Heading4"/>
      </w:pPr>
      <w:r>
        <w:t xml:space="preserve">Clean Energy &amp; Fueling</w:t>
      </w:r>
    </w:p>
    <w:p>
      <w:pPr>
        <w:pStyle w:val="FirstParagraph"/>
      </w:pPr>
      <w:r>
        <w:t xml:space="preserve">Q1 organic growth was 11%, supported by retail fueling, clean-energy components and fluid transport. Management views North American retail-fueling investment as a multiyear cycle and expects better margins from volume, pricing and acquisition integration. (</w:t>
      </w:r>
      <w:hyperlink r:id="rId12">
        <w:r>
          <w:rPr>
            <w:rStyle w:val="Hyperlink"/>
          </w:rPr>
          <w:t xml:space="preserve">investors.dovercorporation.com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Key check:</w:t>
      </w:r>
      <w:r>
        <w:t xml:space="preserve"> </w:t>
      </w:r>
      <w:r>
        <w:t xml:space="preserve">Can the segment maintain high-single-digit or better growth while lifting margins from Q1’s 19.4% adjusted EBITDA level?</w:t>
      </w:r>
    </w:p>
    <w:bookmarkEnd w:id="19"/>
    <w:bookmarkStart w:id="20" w:name="pumps--process-solutions"/>
    <w:p>
      <w:pPr>
        <w:pStyle w:val="Heading4"/>
      </w:pPr>
      <w:r>
        <w:t xml:space="preserve">Pumps &amp; Process Solutions</w:t>
      </w:r>
    </w:p>
    <w:p>
      <w:pPr>
        <w:pStyle w:val="FirstParagraph"/>
      </w:pPr>
      <w:r>
        <w:t xml:space="preserve">This segment combines several attractive exposures:</w:t>
      </w:r>
    </w:p>
    <w:p>
      <w:pPr>
        <w:pStyle w:val="Compact"/>
        <w:numPr>
          <w:ilvl w:val="0"/>
          <w:numId w:val="1008"/>
        </w:numPr>
      </w:pPr>
      <w:r>
        <w:t xml:space="preserve">gas and steam turbine components;</w:t>
      </w:r>
    </w:p>
    <w:p>
      <w:pPr>
        <w:pStyle w:val="Compact"/>
        <w:numPr>
          <w:ilvl w:val="0"/>
          <w:numId w:val="1008"/>
        </w:numPr>
      </w:pPr>
      <w:r>
        <w:t xml:space="preserve">data-center thermal connectors;</w:t>
      </w:r>
    </w:p>
    <w:p>
      <w:pPr>
        <w:pStyle w:val="Compact"/>
        <w:numPr>
          <w:ilvl w:val="0"/>
          <w:numId w:val="1008"/>
        </w:numPr>
      </w:pPr>
      <w:r>
        <w:t xml:space="preserve">single-use biopharma;</w:t>
      </w:r>
    </w:p>
    <w:p>
      <w:pPr>
        <w:pStyle w:val="Compact"/>
        <w:numPr>
          <w:ilvl w:val="0"/>
          <w:numId w:val="1008"/>
        </w:numPr>
      </w:pPr>
      <w:r>
        <w:t xml:space="preserve">industrial pumps;</w:t>
      </w:r>
    </w:p>
    <w:p>
      <w:pPr>
        <w:pStyle w:val="Compact"/>
        <w:numPr>
          <w:ilvl w:val="0"/>
          <w:numId w:val="1008"/>
        </w:numPr>
      </w:pPr>
      <w:r>
        <w:t xml:space="preserve">electrical-infrastructure measurement equipment; and</w:t>
      </w:r>
    </w:p>
    <w:p>
      <w:pPr>
        <w:pStyle w:val="Compact"/>
        <w:numPr>
          <w:ilvl w:val="0"/>
          <w:numId w:val="1008"/>
        </w:numPr>
      </w:pPr>
      <w:r>
        <w:t xml:space="preserve">potential recovery in midstream gas compression.</w:t>
      </w:r>
    </w:p>
    <w:p>
      <w:pPr>
        <w:pStyle w:val="FirstParagraph"/>
      </w:pPr>
      <w:r>
        <w:t xml:space="preserve">Q1 organic revenue declined slightly, but bookings increased 20% and adjusted EBITDA margin reached 34.1%. (</w:t>
      </w:r>
      <w:hyperlink r:id="rId12">
        <w:r>
          <w:rPr>
            <w:rStyle w:val="Hyperlink"/>
          </w:rPr>
          <w:t xml:space="preserve">investors.dovercorporation.com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Key check:</w:t>
      </w:r>
      <w:r>
        <w:t xml:space="preserve"> </w:t>
      </w:r>
      <w:r>
        <w:t xml:space="preserve">An organic return to growth without sacrificing 30%-plus margins would be a meaningful positive. Midstream compression orders would add another potential H2/2027 catalyst.</w:t>
      </w:r>
    </w:p>
    <w:bookmarkEnd w:id="20"/>
    <w:bookmarkStart w:id="21" w:name="engineered-products"/>
    <w:p>
      <w:pPr>
        <w:pStyle w:val="Heading4"/>
      </w:pPr>
      <w:r>
        <w:t xml:space="preserve">Engineered Products</w:t>
      </w:r>
    </w:p>
    <w:p>
      <w:pPr>
        <w:pStyle w:val="FirstParagraph"/>
      </w:pPr>
      <w:r>
        <w:t xml:space="preserve">Aerospace and defense orders remain strong, while vehicle aftermarket conditions have begun stabilizing. Production capacity—not demand—appears to be the main constraint in the defense business.</w:t>
      </w:r>
    </w:p>
    <w:p>
      <w:pPr>
        <w:pStyle w:val="BodyText"/>
      </w:pPr>
      <w:r>
        <w:rPr>
          <w:b/>
          <w:bCs/>
        </w:rPr>
        <w:t xml:space="preserve">Key check:</w:t>
      </w:r>
      <w:r>
        <w:t xml:space="preserve"> </w:t>
      </w:r>
      <w:r>
        <w:t xml:space="preserve">Investors should favor improving organic growth and margins over another large bookings number that cannot be converted promptly.</w:t>
      </w:r>
    </w:p>
    <w:bookmarkEnd w:id="21"/>
    <w:bookmarkStart w:id="22" w:name="imaging--identification"/>
    <w:p>
      <w:pPr>
        <w:pStyle w:val="Heading4"/>
      </w:pPr>
      <w:r>
        <w:t xml:space="preserve">Imaging &amp; Identification</w:t>
      </w:r>
    </w:p>
    <w:p>
      <w:pPr>
        <w:pStyle w:val="FirstParagraph"/>
      </w:pPr>
      <w:r>
        <w:t xml:space="preserve">This is Dover’s steadier, cash-generative business. Q1 organic revenue fell 3% because of shipment timing, although bookings increased 8%.</w:t>
      </w:r>
    </w:p>
    <w:p>
      <w:pPr>
        <w:pStyle w:val="BodyText"/>
      </w:pPr>
      <w:r>
        <w:rPr>
          <w:b/>
          <w:bCs/>
        </w:rPr>
        <w:t xml:space="preserve">Key check:</w:t>
      </w:r>
      <w:r>
        <w:t xml:space="preserve"> </w:t>
      </w:r>
      <w:r>
        <w:t xml:space="preserve">Management forecast a return to positive organic growth. Failure to inflect would not derail the overall thesis, but it could offset upside from the stronger secular-growth businesses.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Xfd3d981a1f5ad7eb155f5c851eea6c335831c27"/>
    <w:p>
      <w:pPr>
        <w:pStyle w:val="Heading3"/>
      </w:pPr>
      <w:r>
        <w:t xml:space="preserve">5. Do bookings remain high quality?</w:t>
      </w:r>
    </w:p>
    <w:p>
      <w:pPr>
        <w:pStyle w:val="FirstParagraph"/>
      </w:pPr>
      <w:r>
        <w:t xml:space="preserve">Q1’s $2.5 billion of orders was impressive, but the composition matters more than another headline increase.</w:t>
      </w:r>
    </w:p>
    <w:p>
      <w:pPr>
        <w:pStyle w:val="BodyText"/>
      </w:pPr>
      <w:r>
        <w:t xml:space="preserve">Management said the surge was not primarily tariff prebuying. Instead, customers were ordering early to reserve production slots in constrained markets. Dover’s Q2 disclosure should help distinguish between: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healthy backlog formation</w:t>
      </w:r>
      <w:r>
        <w:t xml:space="preserve">, supporting 2026–2027 revenue;</w:t>
      </w:r>
    </w:p>
    <w:p>
      <w:pPr>
        <w:pStyle w:val="Compact"/>
        <w:numPr>
          <w:ilvl w:val="0"/>
          <w:numId w:val="1009"/>
        </w:numPr>
      </w:pPr>
      <w:r>
        <w:t xml:space="preserve">orders merely shifted forward from later periods;</w:t>
      </w:r>
    </w:p>
    <w:p>
      <w:pPr>
        <w:pStyle w:val="Compact"/>
        <w:numPr>
          <w:ilvl w:val="0"/>
          <w:numId w:val="1009"/>
        </w:numPr>
      </w:pPr>
      <w:r>
        <w:t xml:space="preserve">project orders with elevated cancellation risk; and</w:t>
      </w:r>
    </w:p>
    <w:p>
      <w:pPr>
        <w:pStyle w:val="Compact"/>
        <w:numPr>
          <w:ilvl w:val="0"/>
          <w:numId w:val="1009"/>
        </w:numPr>
      </w:pPr>
      <w:r>
        <w:t xml:space="preserve">durable share gains resulting from lead times and product availability.</w:t>
      </w:r>
    </w:p>
    <w:p>
      <w:pPr>
        <w:pStyle w:val="FirstParagraph"/>
      </w:pPr>
      <w:r>
        <w:t xml:space="preserve">A lower sequential book-to-bill would not necessarily be negative after Q1’s 1.20x result. The better indicators will be backlog quality, delivery schedules and management’s confidence in second-half conversion.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potential-outcome-framework"/>
    <w:p>
      <w:pPr>
        <w:pStyle w:val="Heading2"/>
      </w:pPr>
      <w:r>
        <w:t xml:space="preserve">Potential outcome framework</w:t>
      </w:r>
    </w:p>
    <w:bookmarkStart w:id="26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0"/>
        </w:numPr>
      </w:pPr>
      <w:r>
        <w:t xml:space="preserve">Revenue above approximately</w:t>
      </w:r>
      <w:r>
        <w:t xml:space="preserve"> </w:t>
      </w:r>
      <w:r>
        <w:rPr>
          <w:b/>
          <w:bCs/>
        </w:rPr>
        <w:t xml:space="preserve">$2.25 billion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adjusted EPS above</w:t>
      </w:r>
      <w:r>
        <w:t xml:space="preserve"> </w:t>
      </w:r>
      <w:r>
        <w:rPr>
          <w:b/>
          <w:bCs/>
        </w:rPr>
        <w:t xml:space="preserve">$2.75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strong organic growth with broad segment participation;</w:t>
      </w:r>
    </w:p>
    <w:p>
      <w:pPr>
        <w:pStyle w:val="Compact"/>
        <w:numPr>
          <w:ilvl w:val="0"/>
          <w:numId w:val="1010"/>
        </w:numPr>
      </w:pPr>
      <w:r>
        <w:t xml:space="preserve">Climate margin improvement and facility consolidation on schedule;</w:t>
      </w:r>
    </w:p>
    <w:p>
      <w:pPr>
        <w:pStyle w:val="Compact"/>
        <w:numPr>
          <w:ilvl w:val="0"/>
          <w:numId w:val="1010"/>
        </w:numPr>
      </w:pPr>
      <w:r>
        <w:t xml:space="preserve">full-year organic-growth and EPS guidance raised;</w:t>
      </w:r>
    </w:p>
    <w:p>
      <w:pPr>
        <w:pStyle w:val="Compact"/>
        <w:numPr>
          <w:ilvl w:val="0"/>
          <w:numId w:val="1010"/>
        </w:numPr>
      </w:pPr>
      <w:r>
        <w:t xml:space="preserve">continued order strength in liquid cooling, CO2 refrigeration, defense and power generation.</w:t>
      </w:r>
    </w:p>
    <w:p>
      <w:pPr>
        <w:pStyle w:val="FirstParagraph"/>
      </w:pPr>
      <w:r>
        <w:t xml:space="preserve">This would reinforce Dover’s evolution from a traditional diversified industrial into a higher-growth portfolio with meaningful AI, power infrastructure and sustainability exposure.</w:t>
      </w:r>
    </w:p>
    <w:bookmarkEnd w:id="26"/>
    <w:bookmarkStart w:id="27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1"/>
        </w:numPr>
      </w:pPr>
      <w:r>
        <w:t xml:space="preserve">Results near or modestly above $2.21 billion and $2.72;</w:t>
      </w:r>
    </w:p>
    <w:p>
      <w:pPr>
        <w:pStyle w:val="Compact"/>
        <w:numPr>
          <w:ilvl w:val="0"/>
          <w:numId w:val="1011"/>
        </w:numPr>
      </w:pPr>
      <w:r>
        <w:t xml:space="preserve">bookings normalize but backlog remains healthy;</w:t>
      </w:r>
    </w:p>
    <w:p>
      <w:pPr>
        <w:pStyle w:val="Compact"/>
        <w:numPr>
          <w:ilvl w:val="0"/>
          <w:numId w:val="1011"/>
        </w:numPr>
      </w:pPr>
      <w:r>
        <w:t xml:space="preserve">management raises the low end of guidance or explicitly targets the high end;</w:t>
      </w:r>
    </w:p>
    <w:p>
      <w:pPr>
        <w:pStyle w:val="Compact"/>
        <w:numPr>
          <w:ilvl w:val="0"/>
          <w:numId w:val="1011"/>
        </w:numPr>
      </w:pPr>
      <w:r>
        <w:t xml:space="preserve">margin progress is visible but temporarily limited by capacity and restructuring costs.</w:t>
      </w:r>
    </w:p>
    <w:p>
      <w:pPr>
        <w:pStyle w:val="FirstParagraph"/>
      </w:pPr>
      <w:r>
        <w:t xml:space="preserve">This should be sufficient for a constructive reaction, although commentary will matter more than the size of the quarterly beat.</w:t>
      </w:r>
    </w:p>
    <w:bookmarkEnd w:id="27"/>
    <w:bookmarkStart w:id="28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2"/>
        </w:numPr>
      </w:pPr>
      <w:r>
        <w:t xml:space="preserve">Revenue misses because orders are converting more slowly than expected;</w:t>
      </w:r>
    </w:p>
    <w:p>
      <w:pPr>
        <w:pStyle w:val="Compact"/>
        <w:numPr>
          <w:ilvl w:val="0"/>
          <w:numId w:val="1012"/>
        </w:numPr>
      </w:pPr>
      <w:r>
        <w:t xml:space="preserve">EPS is supported mainly by below-the-line items or repurchases;</w:t>
      </w:r>
    </w:p>
    <w:p>
      <w:pPr>
        <w:pStyle w:val="Compact"/>
        <w:numPr>
          <w:ilvl w:val="0"/>
          <w:numId w:val="1012"/>
        </w:numPr>
      </w:pPr>
      <w:r>
        <w:t xml:space="preserve">Climate growth remains strong but margins fail to improve;</w:t>
      </w:r>
    </w:p>
    <w:p>
      <w:pPr>
        <w:pStyle w:val="Compact"/>
        <w:numPr>
          <w:ilvl w:val="0"/>
          <w:numId w:val="1012"/>
        </w:numPr>
      </w:pPr>
      <w:r>
        <w:t xml:space="preserve">Imaging and polymer processing weakness spreads;</w:t>
      </w:r>
    </w:p>
    <w:p>
      <w:pPr>
        <w:pStyle w:val="Compact"/>
        <w:numPr>
          <w:ilvl w:val="0"/>
          <w:numId w:val="1012"/>
        </w:numPr>
      </w:pPr>
      <w:r>
        <w:t xml:space="preserve">management merely reaffirms guidance or flags tariff/input-cost pressure;</w:t>
      </w:r>
    </w:p>
    <w:p>
      <w:pPr>
        <w:pStyle w:val="Compact"/>
        <w:numPr>
          <w:ilvl w:val="0"/>
          <w:numId w:val="1012"/>
        </w:numPr>
      </w:pPr>
      <w:r>
        <w:t xml:space="preserve">capacity additions are delayed.</w:t>
      </w:r>
    </w:p>
    <w:p>
      <w:pPr>
        <w:pStyle w:val="FirstParagraph"/>
      </w:pPr>
      <w:r>
        <w:t xml:space="preserve">That outcome would raise concern that the order surge is creating operational costs faster than earnings and cash flow.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questions-investors-should-want-answered"/>
    <w:p>
      <w:pPr>
        <w:pStyle w:val="Heading2"/>
      </w:pPr>
      <w:r>
        <w:t xml:space="preserve">Questions investors should want answered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How much of Q1’s elevated bookings will ship during the second half of 2026 versus 2027?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Has the Climate facility consolidation been completed, and when will duplicate costs disappear?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What is the current capacity utilization and lead-time profile for heat exchangers and CO2 systems?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Are data-center customers placing firm orders or reserving capacity against less certain future projects?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Has midstream natural-gas compression demand moved from quoting activity to actual orders?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Is pricing still sufficient to offset metals, tariff and labor inflation?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Can Pumps &amp; Process maintain a 30%-plus margin as organic growth returns?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What conditions would keep Dover from raising guidance after the Q1 order performance?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How is the company balancing capacity investment, acquisitions and share repurchases?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Is the 14%–16% full-year free-cash-flow margin target still intact?</w:t>
      </w:r>
    </w:p>
    <w:bookmarkEnd w:id="30"/>
    <w:bookmarkStart w:id="3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Dover’s setup is favorable, but the hurdle is higher than the published consensus suggests. Q1 established unusually strong demand, broad book-to-bill strength and multiple secular growth engines. The market now needs evidence that those orders are converting into</w:t>
      </w:r>
      <w:r>
        <w:t xml:space="preserve"> </w:t>
      </w:r>
      <w:r>
        <w:rPr>
          <w:b/>
          <w:bCs/>
        </w:rPr>
        <w:t xml:space="preserve">higher organic revenue, better incremental margins and an upgraded 2026 outlook</w:t>
      </w:r>
      <w:r>
        <w:t xml:space="preserve">.</w:t>
      </w:r>
    </w:p>
    <w:p>
      <w:pPr>
        <w:pStyle w:val="BodyText"/>
      </w:pPr>
      <w:r>
        <w:t xml:space="preserve">The cleanest positive combination would be:</w:t>
      </w:r>
    </w:p>
    <w:p>
      <w:pPr>
        <w:pStyle w:val="BlockText"/>
      </w:pPr>
      <w:r>
        <w:rPr>
          <w:b/>
          <w:bCs/>
        </w:rPr>
        <w:t xml:space="preserve">A modest Q2 beat + visible Climate margin inflection + higher full-year guidance.</w:t>
      </w:r>
    </w:p>
    <w:p>
      <w:pPr>
        <w:pStyle w:val="FirstParagraph"/>
      </w:pPr>
      <w:r>
        <w:t xml:space="preserve">The principal risk is not an abrupt collapse in demand. It is that production constraints, facility transitions and investment spending delay the earnings conversion of an otherwise strong order book.</w:t>
      </w:r>
    </w:p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investors.dovercorporation.com/news-releases/news-release-details/dover-announces-second-quarter-2026-earnings-release-date" TargetMode="External" /><Relationship Type="http://schemas.openxmlformats.org/officeDocument/2006/relationships/hyperlink" Id="rId12" Target="https://investors.dovercorporation.com/static-files/910fee6b-015f-4645-94b7-0d1b1e902245" TargetMode="External" /><Relationship Type="http://schemas.openxmlformats.org/officeDocument/2006/relationships/hyperlink" Id="rId10" Target="https://www.zacks.com/stock/news/2956498/dover-gears-up-to-report-q2-earnings-what-to-expect-from-the-stock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investors.dovercorporation.com/news-releases/news-release-details/dover-announces-second-quarter-2026-earnings-release-date" TargetMode="External" /><Relationship Type="http://schemas.openxmlformats.org/officeDocument/2006/relationships/hyperlink" Id="rId12" Target="https://investors.dovercorporation.com/static-files/910fee6b-015f-4645-94b7-0d1b1e902245" TargetMode="External" /><Relationship Type="http://schemas.openxmlformats.org/officeDocument/2006/relationships/hyperlink" Id="rId10" Target="https://www.zacks.com/stock/news/2956498/dover-gears-up-to-report-q2-earnings-what-to-expect-from-the-stock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2026-07-23T00:40:55Z</dcterms:created>
  <dcterms:modified xsi:type="dcterms:W3CDTF">2026-07-23T00:40:55Z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