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dover-nyse-dov--2q26-earnings-preview"/>
    <w:p>
      <w:pPr>
        <w:pStyle w:val="Heading1"/>
      </w:pPr>
      <w:r>
        <w:t xml:space="preserve">Dover (NYSE: DOV) — 2Q26 Earnings Preview</w:t>
      </w:r>
    </w:p>
    <w:p>
      <w:pPr>
        <w:pStyle w:val="BlockText"/>
      </w:pPr>
      <w:r>
        <w:rPr>
          <w:b/>
          <w:bCs/>
        </w:rPr>
        <w:t xml:space="preserve">Timing correction:</w:t>
      </w:r>
      <w:r>
        <w:t xml:space="preserve"> </w:t>
      </w:r>
      <w:r>
        <w:t xml:space="preserve">Dover is scheduled to report</w:t>
      </w:r>
      <w:r>
        <w:t xml:space="preserve"> </w:t>
      </w:r>
      <w:r>
        <w:rPr>
          <w:b/>
          <w:bCs/>
        </w:rPr>
        <w:t xml:space="preserve">today, Thursday, July 23, 2026</w:t>
      </w:r>
      <w:r>
        <w:t xml:space="preserve">, at approximately</w:t>
      </w:r>
      <w:r>
        <w:t xml:space="preserve"> </w:t>
      </w:r>
      <w:r>
        <w:rPr>
          <w:b/>
          <w:bCs/>
        </w:rPr>
        <w:t xml:space="preserve">7:00 a.m. ET</w:t>
      </w:r>
      <w:r>
        <w:t xml:space="preserve">, followed by its earnings call at</w:t>
      </w:r>
      <w:r>
        <w:t xml:space="preserve"> </w:t>
      </w:r>
      <w:r>
        <w:rPr>
          <w:b/>
          <w:bCs/>
        </w:rPr>
        <w:t xml:space="preserve">9:30 a.m. ET</w:t>
      </w:r>
      <w:r>
        <w:t xml:space="preserve">—not tomorrow.</w:t>
      </w:r>
    </w:p>
    <w:bookmarkStart w:id="9" w:name="bottom-line"/>
    <w:p>
      <w:pPr>
        <w:pStyle w:val="Heading2"/>
      </w:pPr>
      <w:r>
        <w:t xml:space="preserve">Bottom line</w:t>
      </w:r>
    </w:p>
    <w:p>
      <w:pPr>
        <w:pStyle w:val="FirstParagraph"/>
      </w:pPr>
      <w:r>
        <w:t xml:space="preserve">Dover enters 2Q with a</w:t>
      </w:r>
      <w:r>
        <w:t xml:space="preserve"> </w:t>
      </w:r>
      <w:r>
        <w:rPr>
          <w:b/>
          <w:bCs/>
        </w:rPr>
        <w:t xml:space="preserve">constructive fundamental setup</w:t>
      </w:r>
      <w:r>
        <w:t xml:space="preserve">: first-quarter organic growth was above its full-year framework, bookings accelerated sharply, every segment posted a book-to-bill above 1.0x, and management said it was tracking toward the</w:t>
      </w:r>
      <w:r>
        <w:t xml:space="preserve"> </w:t>
      </w:r>
      <w:r>
        <w:rPr>
          <w:b/>
          <w:bCs/>
        </w:rPr>
        <w:t xml:space="preserve">upper end</w:t>
      </w:r>
      <w:r>
        <w:t xml:space="preserve"> </w:t>
      </w:r>
      <w:r>
        <w:t xml:space="preserve">of its 2026 outlook if order momentum persisted.</w:t>
      </w:r>
    </w:p>
    <w:p>
      <w:pPr>
        <w:pStyle w:val="BodyText"/>
      </w:pPr>
      <w:r>
        <w:t xml:space="preserve">The report is unlikely to hinge solely on whether Dover meets quarterly EPS expectations. The central question is whether management can convert strong orders—particularly in</w:t>
      </w:r>
      <w:r>
        <w:t xml:space="preserve"> </w:t>
      </w:r>
      <w:r>
        <w:rPr>
          <w:b/>
          <w:bCs/>
        </w:rPr>
        <w:t xml:space="preserve">Clean Energy &amp; Fueling</w:t>
      </w:r>
      <w:r>
        <w:t xml:space="preserve"> </w:t>
      </w:r>
      <w:r>
        <w:t xml:space="preserve">and</w:t>
      </w:r>
      <w:r>
        <w:t xml:space="preserve"> </w:t>
      </w:r>
      <w:r>
        <w:rPr>
          <w:b/>
          <w:bCs/>
        </w:rPr>
        <w:t xml:space="preserve">Climate &amp; Sustainability Technologies</w:t>
      </w:r>
      <w:r>
        <w:t xml:space="preserve">—into a formal increase in its full-year organic-growth and adjusted-EPS outlook. Investors will also focus on whether the anticipated second-half margin inflection in Climate begins to appear in the 2Q commentary.</w:t>
      </w:r>
    </w:p>
    <w:bookmarkEnd w:id="9"/>
    <w:bookmarkStart w:id="10" w:name="what-dover-has-guided-to"/>
    <w:p>
      <w:pPr>
        <w:pStyle w:val="Heading2"/>
      </w:pPr>
      <w:r>
        <w:t xml:space="preserve">What Dover has guided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framework</w:t>
            </w:r>
          </w:p>
        </w:tc>
        <w:tc>
          <w:tcPr/>
          <w:p>
            <w:pPr>
              <w:pStyle w:val="Compact"/>
              <w:jc w:val="right"/>
            </w:pPr>
            <w:r>
              <w:t xml:space="preserve">Guidance</w:t>
            </w:r>
          </w:p>
        </w:tc>
      </w:tr>
      <w:tr>
        <w:tc>
          <w:tcPr/>
          <w:p>
            <w:pPr>
              <w:pStyle w:val="Compact"/>
            </w:pPr>
            <w:r>
              <w:t xml:space="preserve">Revenue growth</w:t>
            </w:r>
          </w:p>
        </w:tc>
        <w:tc>
          <w:tcPr/>
          <w:p>
            <w:pPr>
              <w:pStyle w:val="Compact"/>
              <w:jc w:val="right"/>
            </w:pPr>
            <w:r>
              <w:rPr>
                <w:b/>
                <w:bCs/>
              </w:rPr>
              <w:t xml:space="preserve">5%–7%</w:t>
            </w:r>
          </w:p>
        </w:tc>
      </w:tr>
      <w:tr>
        <w:tc>
          <w:tcPr/>
          <w:p>
            <w:pPr>
              <w:pStyle w:val="Compact"/>
            </w:pPr>
            <w:r>
              <w:t xml:space="preserve">Organic revenue growth</w:t>
            </w:r>
          </w:p>
        </w:tc>
        <w:tc>
          <w:tcPr/>
          <w:p>
            <w:pPr>
              <w:pStyle w:val="Compact"/>
              <w:jc w:val="right"/>
            </w:pPr>
            <w:r>
              <w:rPr>
                <w:b/>
                <w:bCs/>
              </w:rPr>
              <w:t xml:space="preserve">3%–5%</w:t>
            </w:r>
          </w:p>
        </w:tc>
      </w:tr>
      <w:tr>
        <w:tc>
          <w:tcPr/>
          <w:p>
            <w:pPr>
              <w:pStyle w:val="Compact"/>
            </w:pPr>
            <w:r>
              <w:t xml:space="preserve">GAAP EPS</w:t>
            </w:r>
          </w:p>
        </w:tc>
        <w:tc>
          <w:tcPr/>
          <w:p>
            <w:pPr>
              <w:pStyle w:val="Compact"/>
              <w:jc w:val="right"/>
            </w:pPr>
            <m:oMath>
              <m:r>
                <m:t>8.92</m:t>
              </m:r>
              <m:r>
                <m:rPr>
                  <m:sty m:val="p"/>
                </m:rPr>
                <m:t>–</m:t>
              </m:r>
            </m:oMath>
            <w:r>
              <w:rPr>
                <w:b/>
                <w:bCs/>
              </w:rPr>
              <w:t xml:space="preserve">9.12</w:t>
            </w:r>
          </w:p>
        </w:tc>
      </w:tr>
      <w:tr>
        <w:tc>
          <w:tcPr/>
          <w:p>
            <w:pPr>
              <w:pStyle w:val="Compact"/>
            </w:pPr>
            <w:r>
              <w:t xml:space="preserve">Adjusted EPS</w:t>
            </w:r>
          </w:p>
        </w:tc>
        <w:tc>
          <w:tcPr/>
          <w:p>
            <w:pPr>
              <w:pStyle w:val="Compact"/>
              <w:jc w:val="right"/>
            </w:pPr>
            <m:oMath>
              <m:r>
                <m:t>10.45</m:t>
              </m:r>
              <m:r>
                <m:rPr>
                  <m:sty m:val="p"/>
                </m:rPr>
                <m:t>–</m:t>
              </m:r>
            </m:oMath>
            <w:r>
              <w:rPr>
                <w:b/>
                <w:bCs/>
              </w:rPr>
              <w:t xml:space="preserve">10.65</w:t>
            </w:r>
          </w:p>
        </w:tc>
      </w:tr>
      <w:tr>
        <w:tc>
          <w:tcPr/>
          <w:p>
            <w:pPr>
              <w:pStyle w:val="Compact"/>
            </w:pPr>
            <w:r>
              <w:t xml:space="preserve">Free-cash-flow margin</w:t>
            </w:r>
          </w:p>
        </w:tc>
        <w:tc>
          <w:tcPr/>
          <w:p>
            <w:pPr>
              <w:pStyle w:val="Compact"/>
              <w:jc w:val="right"/>
            </w:pPr>
            <w:r>
              <w:rPr>
                <w:b/>
                <w:bCs/>
              </w:rPr>
              <w:t xml:space="preserve">14%–16% of revenue</w:t>
            </w:r>
          </w:p>
        </w:tc>
      </w:tr>
      <w:tr>
        <w:tc>
          <w:tcPr/>
          <w:p>
            <w:pPr>
              <w:pStyle w:val="Compact"/>
            </w:pPr>
            <w:r>
              <w:t xml:space="preserve">Capital expenditures</w:t>
            </w:r>
          </w:p>
        </w:tc>
        <w:tc>
          <w:tcPr/>
          <w:p>
            <w:pPr>
              <w:pStyle w:val="Compact"/>
              <w:jc w:val="right"/>
            </w:pPr>
            <m:oMath>
              <m:r>
                <m:t>190</m:t>
              </m:r>
              <m:r>
                <m:t>M</m:t>
              </m:r>
              <m:r>
                <m:rPr>
                  <m:sty m:val="p"/>
                </m:rPr>
                <m:t>–</m:t>
              </m:r>
            </m:oMath>
            <w:r>
              <w:rPr>
                <w:b/>
                <w:bCs/>
              </w:rPr>
              <w:t xml:space="preserve">210M</w:t>
            </w:r>
          </w:p>
        </w:tc>
      </w:tr>
    </w:tbl>
    <w:p>
      <w:pPr>
        <w:pStyle w:val="BodyText"/>
      </w:pPr>
      <w:r>
        <w:t xml:space="preserve">At the midpoint, the adjusted-EPS outlook implies roughly</w:t>
      </w:r>
      <w:r>
        <w:t xml:space="preserve"> </w:t>
      </w:r>
      <w:r>
        <w:rPr>
          <w:b/>
          <w:bCs/>
        </w:rPr>
        <w:t xml:space="preserve">10% annual growth</w:t>
      </w:r>
      <w:r>
        <w:t xml:space="preserve">. After delivering</w:t>
      </w:r>
      <w:r>
        <w:t xml:space="preserve"> </w:t>
      </w:r>
      <m:oMath>
        <m:r>
          <m:t>2.28</m:t>
        </m:r>
        <m:r>
          <m:rPr>
            <m:sty m:val="p"/>
          </m:rPr>
          <m:t>*</m:t>
        </m:r>
        <m:r>
          <m:rPr>
            <m:sty m:val="p"/>
          </m:rPr>
          <m:t>*</m:t>
        </m:r>
        <m:r>
          <m:t>o</m:t>
        </m:r>
        <m:r>
          <m:t>f</m:t>
        </m:r>
        <m:r>
          <m:t>a</m:t>
        </m:r>
        <m:r>
          <m:t>d</m:t>
        </m:r>
        <m:r>
          <m:t>j</m:t>
        </m:r>
        <m:r>
          <m:t>u</m:t>
        </m:r>
        <m:r>
          <m:t>s</m:t>
        </m:r>
        <m:r>
          <m:t>t</m:t>
        </m:r>
        <m:r>
          <m:t>e</m:t>
        </m:r>
        <m:r>
          <m:t>d</m:t>
        </m:r>
        <m:r>
          <m:t>E</m:t>
        </m:r>
        <m:r>
          <m:t>P</m:t>
        </m:r>
        <m:r>
          <m:t>S</m:t>
        </m:r>
        <m:r>
          <m:t>i</m:t>
        </m:r>
        <m:r>
          <m:t>n</m:t>
        </m:r>
        <m:r>
          <m:t>1</m:t>
        </m:r>
        <m:r>
          <m:t>Q</m:t>
        </m:r>
        <m:r>
          <m:rPr>
            <m:sty m:val="p"/>
          </m:rPr>
          <m:t>,</m:t>
        </m:r>
        <m:r>
          <m:t>D</m:t>
        </m:r>
        <m:r>
          <m:t>o</m:t>
        </m:r>
        <m:r>
          <m:t>v</m:t>
        </m:r>
        <m:r>
          <m:t>e</m:t>
        </m:r>
        <m:r>
          <m:t>r</m:t>
        </m:r>
        <m:r>
          <m:t>n</m:t>
        </m:r>
        <m:r>
          <m:t>e</m:t>
        </m:r>
        <m:r>
          <m:t>e</m:t>
        </m:r>
        <m:r>
          <m:t>d</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8.27</w:t>
      </w:r>
      <w:r>
        <w:t xml:space="preserve"> </w:t>
      </w:r>
      <w:r>
        <w:t xml:space="preserve">across the remaining three quarters to reach the</w:t>
      </w:r>
      <w:r>
        <w:t xml:space="preserve"> </w:t>
      </w:r>
      <m:oMath>
        <m:r>
          <m:t>10.55</m:t>
        </m:r>
        <m:r>
          <m:t>m</m:t>
        </m:r>
        <m:r>
          <m:t>i</m:t>
        </m:r>
        <m:r>
          <m:t>d</m:t>
        </m:r>
        <m:r>
          <m:t>p</m:t>
        </m:r>
        <m:r>
          <m:t>o</m:t>
        </m:r>
        <m:r>
          <m:t>i</m:t>
        </m:r>
        <m:r>
          <m:t>n</m:t>
        </m:r>
        <m:r>
          <m:t>t</m:t>
        </m:r>
        <m:r>
          <m:rPr>
            <m:sty m:val="p"/>
          </m:rPr>
          <m:t>—</m:t>
        </m:r>
        <m:r>
          <m:t>a</m:t>
        </m:r>
        <m:r>
          <m:t>n</m:t>
        </m:r>
        <m:r>
          <m:t>a</m:t>
        </m:r>
        <m:r>
          <m:t>v</m:t>
        </m:r>
        <m:r>
          <m:t>e</m:t>
        </m:r>
        <m:r>
          <m:t>r</m:t>
        </m:r>
        <m:r>
          <m:t>a</m:t>
        </m:r>
        <m:r>
          <m:t>g</m:t>
        </m:r>
        <m:r>
          <m:t>e</m:t>
        </m:r>
        <m:r>
          <m:t>o</m:t>
        </m:r>
        <m:r>
          <m:t>f</m:t>
        </m:r>
        <m:r>
          <m:t>a</m:t>
        </m:r>
        <m:r>
          <m:t>b</m:t>
        </m:r>
        <m:r>
          <m:t>o</m:t>
        </m:r>
        <m:r>
          <m:t>u</m:t>
        </m:r>
        <m:r>
          <m:t>t</m:t>
        </m:r>
        <m:r>
          <m:rPr>
            <m:sty m:val="p"/>
          </m:rPr>
          <m:t>*</m:t>
        </m:r>
        <m:r>
          <m:rPr>
            <m:sty m:val="p"/>
          </m:rPr>
          <m:t>*</m:t>
        </m:r>
      </m:oMath>
      <w:r>
        <w:t xml:space="preserve">2.76 per quarter**. That puts greater importance on the seasonally stronger 2Q and 3Q periods.</w:t>
      </w:r>
    </w:p>
    <w:bookmarkEnd w:id="10"/>
    <w:bookmarkStart w:id="14" w:name="why-the-setup-is-favorable"/>
    <w:p>
      <w:pPr>
        <w:pStyle w:val="Heading2"/>
      </w:pPr>
      <w:r>
        <w:t xml:space="preserve">Why the setup is favorable</w:t>
      </w:r>
    </w:p>
    <w:bookmarkStart w:id="11" w:name="Xaeed0fca86adf73420e711e4dcc3f1c2b7ffc00"/>
    <w:p>
      <w:pPr>
        <w:pStyle w:val="Heading3"/>
      </w:pPr>
      <w:r>
        <w:t xml:space="preserve">1. Orders were the key 1Q upside signal</w:t>
      </w:r>
    </w:p>
    <w:p>
      <w:pPr>
        <w:pStyle w:val="FirstParagraph"/>
      </w:pPr>
      <w:r>
        <w:t xml:space="preserve">Dover reported 1Q bookings of</w:t>
      </w:r>
      <w:r>
        <w:t xml:space="preserve"> </w:t>
      </w:r>
      <m:oMath>
        <m:r>
          <m:t>2.46</m:t>
        </m:r>
        <m:r>
          <m:t>b</m:t>
        </m:r>
        <m:r>
          <m:t>i</m:t>
        </m:r>
        <m:r>
          <m:t>l</m:t>
        </m:r>
        <m:r>
          <m:t>l</m:t>
        </m:r>
        <m:r>
          <m:t>i</m:t>
        </m:r>
        <m:r>
          <m:t>o</m:t>
        </m:r>
        <m:r>
          <m:t>n</m:t>
        </m:r>
        <m:r>
          <m:rPr>
            <m:sty m:val="p"/>
          </m:rPr>
          <m:t>*</m:t>
        </m:r>
        <m:r>
          <m:rPr>
            <m:sty m:val="p"/>
          </m:rPr>
          <m:t>*</m:t>
        </m:r>
        <m:r>
          <m:rPr>
            <m:sty m:val="p"/>
          </m:rPr>
          <m:t>,</m:t>
        </m:r>
        <m:r>
          <m:t>u</m:t>
        </m:r>
        <m:r>
          <m:t>p</m:t>
        </m:r>
        <m:r>
          <m:rPr>
            <m:sty m:val="p"/>
          </m:rPr>
          <m:t>*</m:t>
        </m:r>
        <m:r>
          <m:rPr>
            <m:sty m:val="p"/>
          </m:rPr>
          <m:t>*</m:t>
        </m:r>
        <m:r>
          <m:t>24</m:t>
        </m:r>
      </m:oMath>
      <w:r>
        <w:rPr>
          <w:b/>
          <w:bCs/>
        </w:rPr>
        <w:t xml:space="preserve">2.05 billion</w:t>
      </w:r>
      <w:r>
        <w:t xml:space="preserve">—a consolidated book-to-bill of roughly</w:t>
      </w:r>
      <w:r>
        <w:t xml:space="preserve"> </w:t>
      </w:r>
      <w:r>
        <w:rPr>
          <w:b/>
          <w:bCs/>
        </w:rPr>
        <w:t xml:space="preserve">1.20x</w:t>
      </w:r>
      <w:r>
        <w:t xml:space="preserve">. All five segments had book-to-bill above 1.0x.</w:t>
      </w:r>
    </w:p>
    <w:p>
      <w:pPr>
        <w:pStyle w:val="BodyText"/>
      </w:pPr>
      <w:r>
        <w:t xml:space="preserve">Management characterized this strength as genuine demand and capacity reservation rather than tariff-related prebuying. The company said April order activity remained constructive and that it was already booking certain businesses into 3Q.</w:t>
      </w:r>
    </w:p>
    <w:p>
      <w:pPr>
        <w:pStyle w:val="BodyText"/>
      </w:pPr>
      <w:r>
        <w:t xml:space="preserve">That matters because Dover’s full-year organic-growth guide is</w:t>
      </w:r>
      <w:r>
        <w:t xml:space="preserve"> </w:t>
      </w:r>
      <w:r>
        <w:rPr>
          <w:b/>
          <w:bCs/>
        </w:rPr>
        <w:t xml:space="preserve">3%–5%</w:t>
      </w:r>
      <w:r>
        <w:t xml:space="preserve">, while 1Q organic growth was already</w:t>
      </w:r>
      <w:r>
        <w:t xml:space="preserve"> </w:t>
      </w:r>
      <w:r>
        <w:rPr>
          <w:b/>
          <w:bCs/>
        </w:rPr>
        <w:t xml:space="preserve">5.3%</w:t>
      </w:r>
      <w:r>
        <w:t xml:space="preserve">. At the April earnings call, management explicitly said it was “driving to the top end” of guidance and would revisit its outlook in 2Q if booking trends held.</w:t>
      </w:r>
    </w:p>
    <w:p>
      <w:pPr>
        <w:pStyle w:val="BodyText"/>
      </w:pPr>
      <w:r>
        <w:rPr>
          <w:b/>
          <w:bCs/>
        </w:rPr>
        <w:t xml:space="preserve">Important caveat:</w:t>
      </w:r>
      <w:r>
        <w:t xml:space="preserve"> </w:t>
      </w:r>
      <w:r>
        <w:t xml:space="preserve">Management also warned investors not to mechanically convert the 1Q booking surge into 2Q revenue. Some orders have later delivery dates because customers are reserving constrained capacity, especially in heat exchangers, CO2 refrigeration systems, aerospace/defense components, and selected energy infrastructure products.</w:t>
      </w:r>
    </w:p>
    <w:bookmarkEnd w:id="11"/>
    <w:bookmarkStart w:id="12" w:name="Xb6b2aefd7968313b46cc795c72a95558b1bb480"/>
    <w:p>
      <w:pPr>
        <w:pStyle w:val="Heading3"/>
      </w:pPr>
      <w:r>
        <w:t xml:space="preserve">2. The growth portfolio is concentrated in attractive end markets</w:t>
      </w:r>
    </w:p>
    <w:p>
      <w:pPr>
        <w:pStyle w:val="FirstParagraph"/>
      </w:pPr>
      <w:r>
        <w:t xml:space="preserve">Dover identified more than</w:t>
      </w:r>
      <w:r>
        <w:t xml:space="preserve"> </w:t>
      </w:r>
      <w:r>
        <w:rPr>
          <w:b/>
          <w:bCs/>
        </w:rPr>
        <w:t xml:space="preserve">$1 billion of 2026 revenue</w:t>
      </w:r>
      <w:r>
        <w:t xml:space="preserve"> </w:t>
      </w:r>
      <w:r>
        <w:t xml:space="preserve">tied to AI and power-generation infrastructure. The most relevant exposure includes liquid cooling and heat exchangers for data centers, precision components for gas turbines and engines, high-voltage cable inspection, and related energy infrastructure.</w:t>
      </w:r>
    </w:p>
    <w:p>
      <w:pPr>
        <w:pStyle w:val="BodyText"/>
      </w:pPr>
      <w:r>
        <w:t xml:space="preserve">Its other principal secular drivers remain:</w:t>
      </w:r>
    </w:p>
    <w:p>
      <w:pPr>
        <w:pStyle w:val="Compact"/>
        <w:numPr>
          <w:ilvl w:val="0"/>
          <w:numId w:val="1001"/>
        </w:numPr>
      </w:pPr>
      <w:r>
        <w:rPr>
          <w:b/>
          <w:bCs/>
        </w:rPr>
        <w:t xml:space="preserve">CO2 commercial refrigeration</w:t>
      </w:r>
      <w:r>
        <w:t xml:space="preserve">, where North American adoption remains below 10% of the installed base, according to management.</w:t>
      </w:r>
    </w:p>
    <w:p>
      <w:pPr>
        <w:pStyle w:val="Compact"/>
        <w:numPr>
          <w:ilvl w:val="0"/>
          <w:numId w:val="1001"/>
        </w:numPr>
      </w:pPr>
      <w:r>
        <w:rPr>
          <w:b/>
          <w:bCs/>
        </w:rPr>
        <w:t xml:space="preserve">Retail fueling</w:t>
      </w:r>
      <w:r>
        <w:t xml:space="preserve">, where national customers continue to invest in North American expansion and replacement cycles.</w:t>
      </w:r>
    </w:p>
    <w:p>
      <w:pPr>
        <w:pStyle w:val="Compact"/>
        <w:numPr>
          <w:ilvl w:val="0"/>
          <w:numId w:val="1001"/>
        </w:numPr>
      </w:pPr>
      <w:r>
        <w:rPr>
          <w:b/>
          <w:bCs/>
        </w:rPr>
        <w:t xml:space="preserve">Aerospace and defense</w:t>
      </w:r>
      <w:r>
        <w:t xml:space="preserve">, particularly electronic-warfare and signal-intelligence applications.</w:t>
      </w:r>
    </w:p>
    <w:p>
      <w:pPr>
        <w:pStyle w:val="Compact"/>
        <w:numPr>
          <w:ilvl w:val="0"/>
          <w:numId w:val="1001"/>
        </w:numPr>
      </w:pPr>
      <w:r>
        <w:rPr>
          <w:b/>
          <w:bCs/>
        </w:rPr>
        <w:t xml:space="preserve">Biopharma</w:t>
      </w:r>
      <w:r>
        <w:t xml:space="preserve">, cryogenic equipment, LNG infrastructure, and gas-turbine-related components.</w:t>
      </w:r>
    </w:p>
    <w:p>
      <w:pPr>
        <w:pStyle w:val="FirstParagraph"/>
      </w:pPr>
      <w:r>
        <w:t xml:space="preserve">These markets are not immune from macro volatility, but they give Dover a better growth mix than a broadly cyclical industrial supplier.</w:t>
      </w:r>
    </w:p>
    <w:bookmarkEnd w:id="12"/>
    <w:bookmarkStart w:id="13" w:name="Xe63c79626f0855443de6f7a4e4bf2b602b3a198"/>
    <w:p>
      <w:pPr>
        <w:pStyle w:val="Heading3"/>
      </w:pPr>
      <w:r>
        <w:t xml:space="preserve">3. Share repurchases provide an additional EPS tailwind</w:t>
      </w:r>
    </w:p>
    <w:p>
      <w:pPr>
        <w:pStyle w:val="FirstParagraph"/>
      </w:pPr>
      <w:r>
        <w:t xml:space="preserve">Dover completed its</w:t>
      </w:r>
      <w:r>
        <w:t xml:space="preserve"> </w:t>
      </w:r>
      <m:oMath>
        <m:r>
          <m:t>500</m:t>
        </m:r>
        <m:r>
          <m:t>m</m:t>
        </m:r>
        <m:r>
          <m:t>i</m:t>
        </m:r>
        <m:r>
          <m:t>l</m:t>
        </m:r>
        <m:r>
          <m:t>l</m:t>
        </m:r>
        <m:r>
          <m:t>i</m:t>
        </m:r>
        <m:r>
          <m:t>o</m:t>
        </m:r>
        <m:r>
          <m:t>n</m:t>
        </m:r>
        <m:r>
          <m:t>a</m:t>
        </m:r>
        <m:r>
          <m:t>c</m:t>
        </m:r>
        <m:r>
          <m:t>c</m:t>
        </m:r>
        <m:r>
          <m:t>e</m:t>
        </m:r>
        <m:r>
          <m:t>l</m:t>
        </m:r>
        <m:r>
          <m:t>e</m:t>
        </m:r>
        <m:r>
          <m:t>r</m:t>
        </m:r>
        <m:r>
          <m:t>a</m:t>
        </m:r>
        <m:r>
          <m:t>t</m:t>
        </m:r>
        <m:r>
          <m:t>e</m:t>
        </m:r>
        <m:r>
          <m:t>d</m:t>
        </m:r>
        <m:r>
          <m:t>s</m:t>
        </m:r>
        <m:r>
          <m:t>h</m:t>
        </m:r>
        <m:r>
          <m:t>a</m:t>
        </m:r>
        <m:r>
          <m:t>r</m:t>
        </m:r>
        <m:r>
          <m:t>e</m:t>
        </m:r>
        <m:r>
          <m:rPr>
            <m:sty m:val="p"/>
          </m:rPr>
          <m:t>−</m:t>
        </m:r>
        <m:r>
          <m:t>r</m:t>
        </m:r>
        <m:r>
          <m:t>e</m:t>
        </m:r>
        <m:r>
          <m:t>p</m:t>
        </m:r>
        <m:r>
          <m:t>u</m:t>
        </m:r>
        <m:r>
          <m:t>r</m:t>
        </m:r>
        <m:r>
          <m:t>c</m:t>
        </m:r>
        <m:r>
          <m:t>h</m:t>
        </m:r>
        <m:r>
          <m:t>a</m:t>
        </m:r>
        <m:r>
          <m:t>s</m:t>
        </m:r>
        <m:r>
          <m:t>e</m:t>
        </m:r>
        <m:r>
          <m:t>p</m:t>
        </m:r>
        <m:r>
          <m:t>r</m:t>
        </m:r>
        <m:r>
          <m:t>o</m:t>
        </m:r>
        <m:r>
          <m:t>g</m:t>
        </m:r>
        <m:r>
          <m:t>r</m:t>
        </m:r>
        <m:r>
          <m:t>a</m:t>
        </m:r>
        <m:r>
          <m:t>m</m:t>
        </m:r>
        <m:r>
          <m:t>i</m:t>
        </m:r>
        <m:r>
          <m:t>n</m:t>
        </m:r>
        <m:r>
          <m:t>A</m:t>
        </m:r>
        <m:r>
          <m:t>p</m:t>
        </m:r>
        <m:r>
          <m:t>r</m:t>
        </m:r>
        <m:r>
          <m:t>i</m:t>
        </m:r>
        <m:r>
          <m:t>l</m:t>
        </m:r>
        <m:r>
          <m:rPr>
            <m:sty m:val="p"/>
          </m:rPr>
          <m:t>,</m:t>
        </m:r>
        <m:r>
          <m:t>r</m:t>
        </m:r>
        <m:r>
          <m:t>e</m:t>
        </m:r>
        <m:r>
          <m:t>c</m:t>
        </m:r>
        <m:r>
          <m:t>e</m:t>
        </m:r>
        <m:r>
          <m:t>i</m:t>
        </m:r>
        <m:r>
          <m:t>v</m:t>
        </m:r>
        <m:r>
          <m:t>i</m:t>
        </m:r>
        <m:r>
          <m:t>n</m:t>
        </m:r>
        <m:r>
          <m:t>g</m:t>
        </m:r>
        <m:r>
          <m:t>a</m:t>
        </m:r>
        <m:r>
          <m:t>t</m:t>
        </m:r>
        <m:r>
          <m:t>o</m:t>
        </m:r>
        <m:r>
          <m:t>t</m:t>
        </m:r>
        <m:r>
          <m:t>a</m:t>
        </m:r>
        <m:r>
          <m:t>l</m:t>
        </m:r>
        <m:r>
          <m:t>o</m:t>
        </m:r>
        <m:r>
          <m:t>f</m:t>
        </m:r>
        <m:r>
          <m:rPr>
            <m:sty m:val="p"/>
          </m:rPr>
          <m:t>*</m:t>
        </m:r>
        <m:r>
          <m:rPr>
            <m:sty m:val="p"/>
          </m:rPr>
          <m:t>*</m:t>
        </m:r>
        <m:r>
          <m:t>2.49</m:t>
        </m:r>
        <m:r>
          <m:t>m</m:t>
        </m:r>
        <m:r>
          <m:t>i</m:t>
        </m:r>
        <m:r>
          <m:t>l</m:t>
        </m:r>
        <m:r>
          <m:t>l</m:t>
        </m:r>
        <m:r>
          <m:t>i</m:t>
        </m:r>
        <m:r>
          <m:t>o</m:t>
        </m:r>
        <m:r>
          <m:t>n</m:t>
        </m:r>
        <m:r>
          <m:t>s</m:t>
        </m:r>
        <m:r>
          <m:t>h</m:t>
        </m:r>
        <m:r>
          <m:t>a</m:t>
        </m:r>
        <m:r>
          <m:t>r</m:t>
        </m:r>
        <m:r>
          <m:t>e</m:t>
        </m:r>
        <m:r>
          <m:t>s</m:t>
        </m:r>
        <m:r>
          <m:rPr>
            <m:sty m:val="p"/>
          </m:rPr>
          <m:t>*</m:t>
        </m:r>
        <m:r>
          <m:rPr>
            <m:sty m:val="p"/>
          </m:rPr>
          <m:t>*</m:t>
        </m:r>
        <m:r>
          <m:t>a</m:t>
        </m:r>
        <m:r>
          <m:t>t</m:t>
        </m:r>
        <m:r>
          <m:t>a</m:t>
        </m:r>
        <m:r>
          <m:t>n</m:t>
        </m:r>
        <m:r>
          <m:t>a</m:t>
        </m:r>
        <m:r>
          <m:t>v</m:t>
        </m:r>
        <m:r>
          <m:t>e</m:t>
        </m:r>
        <m:r>
          <m:t>r</m:t>
        </m:r>
        <m:r>
          <m:t>a</m:t>
        </m:r>
        <m:r>
          <m:t>g</m:t>
        </m:r>
        <m:r>
          <m:t>e</m:t>
        </m:r>
        <m:r>
          <m:t>p</m:t>
        </m:r>
        <m:r>
          <m:t>r</m:t>
        </m:r>
        <m:r>
          <m:t>i</m:t>
        </m:r>
        <m:r>
          <m:t>c</m:t>
        </m:r>
        <m:r>
          <m:t>e</m:t>
        </m:r>
        <m:r>
          <m:t>o</m:t>
        </m:r>
        <m:r>
          <m:t>f</m:t>
        </m:r>
        <m:r>
          <m:rPr>
            <m:sty m:val="p"/>
          </m:rPr>
          <m:t>*</m:t>
        </m:r>
        <m:r>
          <m:rPr>
            <m:sty m:val="p"/>
          </m:rPr>
          <m:t>*</m:t>
        </m:r>
      </m:oMath>
      <w:r>
        <w:t xml:space="preserve">200.99**. The 1Q diluted share count was already</w:t>
      </w:r>
      <w:r>
        <w:t xml:space="preserve"> </w:t>
      </w:r>
      <w:r>
        <w:rPr>
          <w:b/>
          <w:bCs/>
        </w:rPr>
        <w:t xml:space="preserve">135.9 million</w:t>
      </w:r>
      <w:r>
        <w:t xml:space="preserve">, down from</w:t>
      </w:r>
      <w:r>
        <w:t xml:space="preserve"> </w:t>
      </w:r>
      <w:r>
        <w:rPr>
          <w:b/>
          <w:bCs/>
        </w:rPr>
        <w:t xml:space="preserve">138.3 million</w:t>
      </w:r>
      <w:r>
        <w:t xml:space="preserve"> </w:t>
      </w:r>
      <w:r>
        <w:t xml:space="preserve">in 1Q25. The completed program should support year-over-year EPS growth even if the operating result is merely in line.</w:t>
      </w:r>
    </w:p>
    <w:p>
      <w:r>
        <w:pict>
          <v:rect style="width:0;height:1.5pt" o:hralign="center" o:hrstd="t" o:hr="t"/>
        </w:pict>
      </w:r>
    </w:p>
    <w:bookmarkEnd w:id="13"/>
    <w:bookmarkEnd w:id="14"/>
    <w:bookmarkStart w:id="19" w:name="segment-scorecard-what-matters-in-2q"/>
    <w:p>
      <w:pPr>
        <w:pStyle w:val="Heading2"/>
      </w:pPr>
      <w:r>
        <w:t xml:space="preserve">Segment scorecard: what matters in 2Q</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Segment</w:t>
            </w:r>
          </w:p>
        </w:tc>
        <w:tc>
          <w:tcPr/>
          <w:p>
            <w:pPr>
              <w:pStyle w:val="Compact"/>
              <w:jc w:val="right"/>
            </w:pPr>
            <w:r>
              <w:t xml:space="preserve">1Q26 organic growth</w:t>
            </w:r>
          </w:p>
        </w:tc>
        <w:tc>
          <w:tcPr/>
          <w:p>
            <w:pPr>
              <w:pStyle w:val="Compact"/>
              <w:jc w:val="right"/>
            </w:pPr>
            <w:r>
              <w:t xml:space="preserve">1Q26 margin</w:t>
            </w:r>
          </w:p>
        </w:tc>
        <w:tc>
          <w:tcPr/>
          <w:p>
            <w:pPr>
              <w:pStyle w:val="Compact"/>
              <w:jc w:val="right"/>
            </w:pPr>
            <w:r>
              <w:t xml:space="preserve">2Q25 revenue / margin</w:t>
            </w:r>
          </w:p>
        </w:tc>
        <w:tc>
          <w:tcPr/>
          <w:p>
            <w:pPr>
              <w:pStyle w:val="Compact"/>
            </w:pPr>
            <w:r>
              <w:t xml:space="preserve">Key watch item</w:t>
            </w:r>
          </w:p>
        </w:tc>
      </w:tr>
      <w:tr>
        <w:tc>
          <w:tcPr/>
          <w:p>
            <w:pPr>
              <w:pStyle w:val="Compact"/>
            </w:pPr>
            <w:r>
              <w:t xml:space="preserve">Engineered Products</w:t>
            </w:r>
          </w:p>
        </w:tc>
        <w:tc>
          <w:tcPr/>
          <w:p>
            <w:pPr>
              <w:pStyle w:val="Compact"/>
              <w:jc w:val="right"/>
            </w:pPr>
            <w:r>
              <w:rPr>
                <w:b/>
                <w:bCs/>
              </w:rPr>
              <w:t xml:space="preserve">+2.1%</w:t>
            </w:r>
          </w:p>
        </w:tc>
        <w:tc>
          <w:tcPr/>
          <w:p>
            <w:pPr>
              <w:pStyle w:val="Compact"/>
              <w:jc w:val="right"/>
            </w:pPr>
            <w:r>
              <w:t xml:space="preserve">16.9%</w:t>
            </w:r>
          </w:p>
        </w:tc>
        <w:tc>
          <w:tcPr/>
          <w:p>
            <w:pPr>
              <w:pStyle w:val="Compact"/>
              <w:jc w:val="right"/>
            </w:pPr>
            <w:r>
              <w:t xml:space="preserve">$276M / 19.4%</w:t>
            </w:r>
          </w:p>
        </w:tc>
        <w:tc>
          <w:tcPr/>
          <w:p>
            <w:pPr>
              <w:pStyle w:val="Compact"/>
            </w:pPr>
            <w:r>
              <w:t xml:space="preserve">Aerospace &amp; defense capacity; vehicle aftermarket recovery</w:t>
            </w:r>
          </w:p>
        </w:tc>
      </w:tr>
      <w:tr>
        <w:tc>
          <w:tcPr/>
          <w:p>
            <w:pPr>
              <w:pStyle w:val="Compact"/>
            </w:pPr>
            <w:r>
              <w:t xml:space="preserve">Clean Energy &amp; Fueling</w:t>
            </w:r>
          </w:p>
        </w:tc>
        <w:tc>
          <w:tcPr/>
          <w:p>
            <w:pPr>
              <w:pStyle w:val="Compact"/>
              <w:jc w:val="right"/>
            </w:pPr>
            <w:r>
              <w:rPr>
                <w:b/>
                <w:bCs/>
              </w:rPr>
              <w:t xml:space="preserve">+11.1%</w:t>
            </w:r>
          </w:p>
        </w:tc>
        <w:tc>
          <w:tcPr/>
          <w:p>
            <w:pPr>
              <w:pStyle w:val="Compact"/>
              <w:jc w:val="right"/>
            </w:pPr>
            <w:r>
              <w:t xml:space="preserve">17.9%</w:t>
            </w:r>
          </w:p>
        </w:tc>
        <w:tc>
          <w:tcPr/>
          <w:p>
            <w:pPr>
              <w:pStyle w:val="Compact"/>
              <w:jc w:val="right"/>
            </w:pPr>
            <w:r>
              <w:t xml:space="preserve">$546M / 19.7%</w:t>
            </w:r>
          </w:p>
        </w:tc>
        <w:tc>
          <w:tcPr/>
          <w:p>
            <w:pPr>
              <w:pStyle w:val="Compact"/>
            </w:pPr>
            <w:r>
              <w:t xml:space="preserve">Retail-fueling cycle, clean-energy components, margin leverage</w:t>
            </w:r>
          </w:p>
        </w:tc>
      </w:tr>
      <w:tr>
        <w:tc>
          <w:tcPr/>
          <w:p>
            <w:pPr>
              <w:pStyle w:val="Compact"/>
            </w:pPr>
            <w:r>
              <w:t xml:space="preserve">Imaging &amp; Identification</w:t>
            </w:r>
          </w:p>
        </w:tc>
        <w:tc>
          <w:tcPr/>
          <w:p>
            <w:pPr>
              <w:pStyle w:val="Compact"/>
              <w:jc w:val="right"/>
            </w:pPr>
            <w:r>
              <w:rPr>
                <w:b/>
                <w:bCs/>
              </w:rPr>
              <w:t xml:space="preserve">-3.3%</w:t>
            </w:r>
          </w:p>
        </w:tc>
        <w:tc>
          <w:tcPr/>
          <w:p>
            <w:pPr>
              <w:pStyle w:val="Compact"/>
              <w:jc w:val="right"/>
            </w:pPr>
            <w:r>
              <w:t xml:space="preserve">27.1%</w:t>
            </w:r>
          </w:p>
        </w:tc>
        <w:tc>
          <w:tcPr/>
          <w:p>
            <w:pPr>
              <w:pStyle w:val="Compact"/>
              <w:jc w:val="right"/>
            </w:pPr>
            <w:r>
              <w:t xml:space="preserve">$292M / 26.3%</w:t>
            </w:r>
          </w:p>
        </w:tc>
        <w:tc>
          <w:tcPr/>
          <w:p>
            <w:pPr>
              <w:pStyle w:val="Compact"/>
            </w:pPr>
            <w:r>
              <w:t xml:space="preserve">Return to low-single-digit growth; FX normalization</w:t>
            </w:r>
          </w:p>
        </w:tc>
      </w:tr>
      <w:tr>
        <w:tc>
          <w:tcPr/>
          <w:p>
            <w:pPr>
              <w:pStyle w:val="Compact"/>
            </w:pPr>
            <w:r>
              <w:t xml:space="preserve">Pumps &amp; Process Solutions</w:t>
            </w:r>
          </w:p>
        </w:tc>
        <w:tc>
          <w:tcPr/>
          <w:p>
            <w:pPr>
              <w:pStyle w:val="Compact"/>
              <w:jc w:val="right"/>
            </w:pPr>
            <w:r>
              <w:rPr>
                <w:b/>
                <w:bCs/>
              </w:rPr>
              <w:t xml:space="preserve">-0.8%</w:t>
            </w:r>
          </w:p>
        </w:tc>
        <w:tc>
          <w:tcPr/>
          <w:p>
            <w:pPr>
              <w:pStyle w:val="Compact"/>
              <w:jc w:val="right"/>
            </w:pPr>
            <w:r>
              <w:t xml:space="preserve">31.5%</w:t>
            </w:r>
          </w:p>
        </w:tc>
        <w:tc>
          <w:tcPr/>
          <w:p>
            <w:pPr>
              <w:pStyle w:val="Compact"/>
              <w:jc w:val="right"/>
            </w:pPr>
            <w:r>
              <w:t xml:space="preserve">$521M / 30.6%</w:t>
            </w:r>
          </w:p>
        </w:tc>
        <w:tc>
          <w:tcPr/>
          <w:p>
            <w:pPr>
              <w:pStyle w:val="Compact"/>
            </w:pPr>
            <w:r>
              <w:t xml:space="preserve">Biopharma comparison, gas compression orders, margin durability</w:t>
            </w:r>
          </w:p>
        </w:tc>
      </w:tr>
      <w:tr>
        <w:tc>
          <w:tcPr/>
          <w:p>
            <w:pPr>
              <w:pStyle w:val="Compact"/>
            </w:pPr>
            <w:r>
              <w:t xml:space="preserve">Climate &amp; Sustainability Technologies</w:t>
            </w:r>
          </w:p>
        </w:tc>
        <w:tc>
          <w:tcPr/>
          <w:p>
            <w:pPr>
              <w:pStyle w:val="Compact"/>
              <w:jc w:val="right"/>
            </w:pPr>
            <w:r>
              <w:rPr>
                <w:b/>
                <w:bCs/>
              </w:rPr>
              <w:t xml:space="preserve">+15.2%</w:t>
            </w:r>
          </w:p>
        </w:tc>
        <w:tc>
          <w:tcPr/>
          <w:p>
            <w:pPr>
              <w:pStyle w:val="Compact"/>
              <w:jc w:val="right"/>
            </w:pPr>
            <w:r>
              <w:t xml:space="preserve">15.6%</w:t>
            </w:r>
          </w:p>
        </w:tc>
        <w:tc>
          <w:tcPr/>
          <w:p>
            <w:pPr>
              <w:pStyle w:val="Compact"/>
              <w:jc w:val="right"/>
            </w:pPr>
            <w:r>
              <w:t xml:space="preserve">$416M / 18.6%</w:t>
            </w:r>
          </w:p>
        </w:tc>
        <w:tc>
          <w:tcPr/>
          <w:p>
            <w:pPr>
              <w:pStyle w:val="Compact"/>
            </w:pPr>
            <w:r>
              <w:t xml:space="preserve">Heat-exchanger demand, CO2 refrigeration, restructuring-related margin inflection</w:t>
            </w:r>
          </w:p>
        </w:tc>
      </w:tr>
    </w:tbl>
    <w:bookmarkStart w:id="15" w:name="X8a31aa1387e987cc34a712e358f9dd25c3985fe"/>
    <w:p>
      <w:pPr>
        <w:pStyle w:val="Heading3"/>
      </w:pPr>
      <w:r>
        <w:t xml:space="preserve">Clean Energy &amp; Fueling: likely the most important near-term growth contributor</w:t>
      </w:r>
    </w:p>
    <w:p>
      <w:pPr>
        <w:pStyle w:val="FirstParagraph"/>
      </w:pPr>
      <w:r>
        <w:t xml:space="preserve">Clean Energy &amp; Fueling delivered</w:t>
      </w:r>
      <w:r>
        <w:t xml:space="preserve"> </w:t>
      </w:r>
      <w:r>
        <w:rPr>
          <w:b/>
          <w:bCs/>
        </w:rPr>
        <w:t xml:space="preserve">11% organic growth</w:t>
      </w:r>
      <w:r>
        <w:t xml:space="preserve"> </w:t>
      </w:r>
      <w:r>
        <w:t xml:space="preserve">in 1Q, driven by clean-energy components, fluid transport, and retail fueling. Dover expects domestic retail-fueling demand from national customers to remain a multiyear growth opportunity.</w:t>
      </w:r>
    </w:p>
    <w:p>
      <w:pPr>
        <w:pStyle w:val="BodyText"/>
      </w:pPr>
      <w:r>
        <w:t xml:space="preserve">For 2Q, investors should look for:</w:t>
      </w:r>
    </w:p>
    <w:p>
      <w:pPr>
        <w:pStyle w:val="Compact"/>
        <w:numPr>
          <w:ilvl w:val="0"/>
          <w:numId w:val="1002"/>
        </w:numPr>
      </w:pPr>
      <w:r>
        <w:t xml:space="preserve">Sustained retail-fueling order and shipment growth;</w:t>
      </w:r>
    </w:p>
    <w:p>
      <w:pPr>
        <w:pStyle w:val="Compact"/>
        <w:numPr>
          <w:ilvl w:val="0"/>
          <w:numId w:val="1002"/>
        </w:numPr>
      </w:pPr>
      <w:r>
        <w:t xml:space="preserve">Evidence that recently implemented pricing and volume leverage are lifting margins;</w:t>
      </w:r>
    </w:p>
    <w:p>
      <w:pPr>
        <w:pStyle w:val="Compact"/>
        <w:numPr>
          <w:ilvl w:val="0"/>
          <w:numId w:val="1002"/>
        </w:numPr>
      </w:pPr>
      <w:r>
        <w:t xml:space="preserve">Commentary on capacity additions and the pace of retail buildouts;</w:t>
      </w:r>
    </w:p>
    <w:p>
      <w:pPr>
        <w:pStyle w:val="Compact"/>
        <w:numPr>
          <w:ilvl w:val="0"/>
          <w:numId w:val="1002"/>
        </w:numPr>
      </w:pPr>
      <w:r>
        <w:t xml:space="preserve">Any signs that tariff or metals-cost volatility is affecting price/cost dynamics.</w:t>
      </w:r>
    </w:p>
    <w:bookmarkEnd w:id="15"/>
    <w:bookmarkStart w:id="16" w:name="Xe64af1b15fe953cd4ea1e6d22563b1e71481001"/>
    <w:p>
      <w:pPr>
        <w:pStyle w:val="Heading3"/>
      </w:pPr>
      <w:r>
        <w:t xml:space="preserve">Climate &amp; Sustainability: the highest-upside and highest-execution debate</w:t>
      </w:r>
    </w:p>
    <w:p>
      <w:pPr>
        <w:pStyle w:val="FirstParagraph"/>
      </w:pPr>
      <w:r>
        <w:t xml:space="preserve">Climate delivered</w:t>
      </w:r>
      <w:r>
        <w:t xml:space="preserve"> </w:t>
      </w:r>
      <w:r>
        <w:rPr>
          <w:b/>
          <w:bCs/>
        </w:rPr>
        <w:t xml:space="preserve">15% organic growth</w:t>
      </w:r>
      <w:r>
        <w:t xml:space="preserve"> </w:t>
      </w:r>
      <w:r>
        <w:t xml:space="preserve">in 1Q, led by brazed-plate heat exchangers and CO2 refrigeration. The data-center liquid-cooling opportunity is a major tailwind, while food-retail refrigeration demand has recovered as customers resume delayed maintenance and replacement activity.</w:t>
      </w:r>
    </w:p>
    <w:p>
      <w:pPr>
        <w:pStyle w:val="BodyText"/>
      </w:pPr>
      <w:r>
        <w:t xml:space="preserve">The segment’s 1Q margin of</w:t>
      </w:r>
      <w:r>
        <w:t xml:space="preserve"> </w:t>
      </w:r>
      <w:r>
        <w:rPr>
          <w:b/>
          <w:bCs/>
        </w:rPr>
        <w:t xml:space="preserve">15.6%</w:t>
      </w:r>
      <w:r>
        <w:t xml:space="preserve"> </w:t>
      </w:r>
      <w:r>
        <w:t xml:space="preserve">was below its</w:t>
      </w:r>
      <w:r>
        <w:t xml:space="preserve"> </w:t>
      </w:r>
      <w:r>
        <w:rPr>
          <w:b/>
          <w:bCs/>
        </w:rPr>
        <w:t xml:space="preserve">18.6%</w:t>
      </w:r>
      <w:r>
        <w:t xml:space="preserve"> </w:t>
      </w:r>
      <w:r>
        <w:t xml:space="preserve">result in 2Q25, but management has framed this as a timing issue rather than a deterioration in underlying economics. Dover has been carrying redundant costs while completing a refrigeration-facility consolidation and has indicated that margin conversion could improve materially in the second half once that work is completed.</w:t>
      </w:r>
    </w:p>
    <w:p>
      <w:pPr>
        <w:pStyle w:val="BodyText"/>
      </w:pPr>
      <w:r>
        <w:rPr>
          <w:b/>
          <w:bCs/>
        </w:rPr>
        <w:t xml:space="preserve">What would be positive:</w:t>
      </w:r>
      <w:r>
        <w:t xml:space="preserve"> </w:t>
      </w:r>
      <w:r>
        <w:t xml:space="preserve">sustained double-digit organic growth, continued long lead times in heat exchangers, confirmation that the consolidation remains on track, and a clearer timetable for the margin inflection.</w:t>
      </w:r>
    </w:p>
    <w:p>
      <w:pPr>
        <w:pStyle w:val="BodyText"/>
      </w:pPr>
      <w:r>
        <w:rPr>
          <w:b/>
          <w:bCs/>
        </w:rPr>
        <w:t xml:space="preserve">What would concern investors:</w:t>
      </w:r>
      <w:r>
        <w:t xml:space="preserve"> </w:t>
      </w:r>
      <w:r>
        <w:t xml:space="preserve">any slippage in the facility project, incremental restructuring costs, or demand that proves more concentrated in capacity-reservation orders than end-market consumption.</w:t>
      </w:r>
    </w:p>
    <w:bookmarkEnd w:id="16"/>
    <w:bookmarkStart w:id="17" w:name="X6f09ce11d43b072386d912e21b5028c2a5e72cd"/>
    <w:p>
      <w:pPr>
        <w:pStyle w:val="Heading3"/>
      </w:pPr>
      <w:r>
        <w:t xml:space="preserve">Pumps &amp; Process: margin strength needs to offset a mixed growth backdrop</w:t>
      </w:r>
    </w:p>
    <w:p>
      <w:pPr>
        <w:pStyle w:val="FirstParagraph"/>
      </w:pPr>
      <w:r>
        <w:t xml:space="preserve">Pumps &amp; Process posted a modest</w:t>
      </w:r>
      <w:r>
        <w:t xml:space="preserve"> </w:t>
      </w:r>
      <w:r>
        <w:rPr>
          <w:b/>
          <w:bCs/>
        </w:rPr>
        <w:t xml:space="preserve">0.8% organic decline</w:t>
      </w:r>
      <w:r>
        <w:t xml:space="preserve"> </w:t>
      </w:r>
      <w:r>
        <w:t xml:space="preserve">in 1Q against a difficult biopharma comparison, yet expanded segment margin to</w:t>
      </w:r>
      <w:r>
        <w:t xml:space="preserve"> </w:t>
      </w:r>
      <w:r>
        <w:rPr>
          <w:b/>
          <w:bCs/>
        </w:rPr>
        <w:t xml:space="preserve">31.5%</w:t>
      </w:r>
      <w:r>
        <w:t xml:space="preserve"> </w:t>
      </w:r>
      <w:r>
        <w:t xml:space="preserve">from 30.6% a year earlier. The 2Q report should clarify whether biopharma has normalized and whether early indications of an inflection in midstream gas-compression demand are turning into orders.</w:t>
      </w:r>
    </w:p>
    <w:p>
      <w:pPr>
        <w:pStyle w:val="BodyText"/>
      </w:pPr>
      <w:r>
        <w:t xml:space="preserve">The segment is strategically important because it houses Dover’s high-margin exposure to industrial pumps, biopharma components, precision measurement, turbines, engines, electrification infrastructure, and polymer processing.</w:t>
      </w:r>
    </w:p>
    <w:bookmarkEnd w:id="17"/>
    <w:bookmarkStart w:id="18" w:name="Xc3ae7d6e049efc6743e9fbc22216c5d8005cd7c"/>
    <w:p>
      <w:pPr>
        <w:pStyle w:val="Heading3"/>
      </w:pPr>
      <w:r>
        <w:t xml:space="preserve">Imaging &amp; Identification: steady cash generator, but needs growth normalization</w:t>
      </w:r>
    </w:p>
    <w:p>
      <w:pPr>
        <w:pStyle w:val="FirstParagraph"/>
      </w:pPr>
      <w:r>
        <w:t xml:space="preserve">Imaging &amp; Identification was the lone 1Q organic decliner, down</w:t>
      </w:r>
      <w:r>
        <w:t xml:space="preserve"> </w:t>
      </w:r>
      <w:r>
        <w:rPr>
          <w:b/>
          <w:bCs/>
        </w:rPr>
        <w:t xml:space="preserve">3.3%</w:t>
      </w:r>
      <w:r>
        <w:t xml:space="preserve">, although its</w:t>
      </w:r>
      <w:r>
        <w:t xml:space="preserve"> </w:t>
      </w:r>
      <w:r>
        <w:rPr>
          <w:b/>
          <w:bCs/>
        </w:rPr>
        <w:t xml:space="preserve">27.1%</w:t>
      </w:r>
      <w:r>
        <w:t xml:space="preserve"> </w:t>
      </w:r>
      <w:r>
        <w:t xml:space="preserve">segment margin remained best-in-class. Management attributed much of the issue to foreign-exchange translation and still expects low-single-digit growth for the year, supported by serialization software, marking-and-coding equipment, and consumables.</w:t>
      </w:r>
    </w:p>
    <w:p>
      <w:pPr>
        <w:pStyle w:val="BodyText"/>
      </w:pPr>
      <w:r>
        <w:t xml:space="preserve">The segment may not determine the quarter, but an organic return to growth would reinforce the argument that 1Q order strength was broad-based rather than limited to Dover’s largest secular platforms.</w:t>
      </w:r>
    </w:p>
    <w:p>
      <w:r>
        <w:pict>
          <v:rect style="width:0;height:1.5pt" o:hralign="center" o:hrstd="t" o:hr="t"/>
        </w:pict>
      </w:r>
    </w:p>
    <w:bookmarkEnd w:id="18"/>
    <w:bookmarkEnd w:id="19"/>
    <w:bookmarkStart w:id="20" w:name="Xd408f2a7eb88a76bb2c55ad84c13ae25b42064c"/>
    <w:p>
      <w:pPr>
        <w:pStyle w:val="Heading2"/>
      </w:pPr>
      <w:r>
        <w:t xml:space="preserve">The 2Q comparison is manageable—but margins set a high bar</w:t>
      </w:r>
    </w:p>
    <w:p>
      <w:pPr>
        <w:pStyle w:val="FirstParagraph"/>
      </w:pPr>
      <w:r>
        <w:t xml:space="preserve">In 2Q25, Dover generated:</w:t>
      </w:r>
    </w:p>
    <w:p>
      <w:pPr>
        <w:pStyle w:val="Compact"/>
        <w:numPr>
          <w:ilvl w:val="0"/>
          <w:numId w:val="1003"/>
        </w:numPr>
      </w:pPr>
      <w:r>
        <w:rPr>
          <w:b/>
          <w:bCs/>
        </w:rPr>
        <w:t xml:space="preserve">Revenue:</w:t>
      </w:r>
      <w:r>
        <w:t xml:space="preserve"> </w:t>
      </w:r>
      <w:r>
        <w:t xml:space="preserve">$2.05 billion</w:t>
      </w:r>
    </w:p>
    <w:p>
      <w:pPr>
        <w:pStyle w:val="Compact"/>
        <w:numPr>
          <w:ilvl w:val="0"/>
          <w:numId w:val="1003"/>
        </w:numPr>
      </w:pPr>
      <w:r>
        <w:rPr>
          <w:b/>
          <w:bCs/>
        </w:rPr>
        <w:t xml:space="preserve">Organic growth:</w:t>
      </w:r>
      <w:r>
        <w:t xml:space="preserve"> </w:t>
      </w:r>
      <w:r>
        <w:t xml:space="preserve">+0.9%</w:t>
      </w:r>
    </w:p>
    <w:p>
      <w:pPr>
        <w:pStyle w:val="Compact"/>
        <w:numPr>
          <w:ilvl w:val="0"/>
          <w:numId w:val="1003"/>
        </w:numPr>
      </w:pPr>
      <w:r>
        <w:rPr>
          <w:b/>
          <w:bCs/>
        </w:rPr>
        <w:t xml:space="preserve">Adjusted EPS:</w:t>
      </w:r>
      <w:r>
        <w:t xml:space="preserve"> </w:t>
      </w:r>
      <w:r>
        <w:t xml:space="preserve">$2.44</w:t>
      </w:r>
    </w:p>
    <w:p>
      <w:pPr>
        <w:pStyle w:val="Compact"/>
        <w:numPr>
          <w:ilvl w:val="0"/>
          <w:numId w:val="1003"/>
        </w:numPr>
      </w:pPr>
      <w:r>
        <w:rPr>
          <w:b/>
          <w:bCs/>
        </w:rPr>
        <w:t xml:space="preserve">Total segment margin:</w:t>
      </w:r>
      <w:r>
        <w:t xml:space="preserve"> </w:t>
      </w:r>
      <w:r>
        <w:t xml:space="preserve">23.2%</w:t>
      </w:r>
    </w:p>
    <w:p>
      <w:pPr>
        <w:pStyle w:val="Compact"/>
        <w:numPr>
          <w:ilvl w:val="0"/>
          <w:numId w:val="1003"/>
        </w:numPr>
      </w:pPr>
      <w:r>
        <w:rPr>
          <w:b/>
          <w:bCs/>
        </w:rPr>
        <w:t xml:space="preserve">Free cash flow:</w:t>
      </w:r>
      <w:r>
        <w:t xml:space="preserve"> </w:t>
      </w:r>
      <w:r>
        <w:t xml:space="preserve">$151 million</w:t>
      </w:r>
    </w:p>
    <w:p>
      <w:pPr>
        <w:pStyle w:val="FirstParagraph"/>
      </w:pPr>
      <w:r>
        <w:t xml:space="preserve">The year-ago organic-growth comparison is relatively easy, particularly for Clean Energy &amp; Fueling and Climate. However, the company is lapping a strong</w:t>
      </w:r>
      <w:r>
        <w:t xml:space="preserve"> </w:t>
      </w:r>
      <w:r>
        <w:rPr>
          <w:b/>
          <w:bCs/>
        </w:rPr>
        <w:t xml:space="preserve">23.2% total segment margin</w:t>
      </w:r>
      <w:r>
        <w:t xml:space="preserve"> </w:t>
      </w:r>
      <w:r>
        <w:t xml:space="preserve">in 2Q25. The market will therefore be attentive to whether volume leverage, pricing, productivity, and mix can overcome elevated restructuring activity and temporary duplicated costs in refrigeration.</w:t>
      </w:r>
    </w:p>
    <w:p>
      <w:r>
        <w:pict>
          <v:rect style="width:0;height:1.5pt" o:hralign="center" o:hrstd="t" o:hr="t"/>
        </w:pict>
      </w:r>
    </w:p>
    <w:bookmarkEnd w:id="20"/>
    <w:bookmarkStart w:id="21" w:name="key-questions-for-management"/>
    <w:p>
      <w:pPr>
        <w:pStyle w:val="Heading2"/>
      </w:pPr>
      <w:r>
        <w:t xml:space="preserve">Key questions for management</w:t>
      </w:r>
    </w:p>
    <w:p>
      <w:pPr>
        <w:numPr>
          <w:ilvl w:val="0"/>
          <w:numId w:val="1004"/>
        </w:numPr>
      </w:pPr>
      <w:r>
        <w:rPr>
          <w:b/>
          <w:bCs/>
        </w:rPr>
        <w:t xml:space="preserve">Does Dover raise 2026 guidance?</w:t>
      </w:r>
      <w:r>
        <w:br/>
      </w:r>
      <w:r>
        <w:t xml:space="preserve">The most important catalyst would be an increase in the</w:t>
      </w:r>
      <w:r>
        <w:t xml:space="preserve"> </w:t>
      </w:r>
      <w:r>
        <w:rPr>
          <w:b/>
          <w:bCs/>
        </w:rPr>
        <w:t xml:space="preserve">3%–5% organic-growth</w:t>
      </w:r>
      <w:r>
        <w:t xml:space="preserve"> </w:t>
      </w:r>
      <w:r>
        <w:t xml:space="preserve">range and/or movement of adjusted EPS above the current</w:t>
      </w:r>
      <w:r>
        <w:t xml:space="preserve"> </w:t>
      </w:r>
      <m:oMath>
        <m:r>
          <m:t>10.45</m:t>
        </m:r>
        <m:r>
          <m:rPr>
            <m:sty m:val="p"/>
          </m:rPr>
          <m:t>–</m:t>
        </m:r>
      </m:oMath>
      <w:r>
        <w:rPr>
          <w:b/>
          <w:bCs/>
        </w:rPr>
        <w:t xml:space="preserve">10.65</w:t>
      </w:r>
      <w:r>
        <w:t xml:space="preserve"> </w:t>
      </w:r>
      <w:r>
        <w:t xml:space="preserve">range.</w:t>
      </w:r>
    </w:p>
    <w:p>
      <w:pPr>
        <w:numPr>
          <w:ilvl w:val="0"/>
          <w:numId w:val="1004"/>
        </w:numPr>
      </w:pPr>
      <w:r>
        <w:rPr>
          <w:b/>
          <w:bCs/>
        </w:rPr>
        <w:t xml:space="preserve">Did bookings remain strong through 2Q?</w:t>
      </w:r>
      <w:r>
        <w:br/>
      </w:r>
      <w:r>
        <w:t xml:space="preserve">Investors will want confirmation that the 1Q order acceleration continued, along with commentary on delivery timing and backlog quality.</w:t>
      </w:r>
    </w:p>
    <w:p>
      <w:pPr>
        <w:numPr>
          <w:ilvl w:val="0"/>
          <w:numId w:val="1004"/>
        </w:numPr>
      </w:pPr>
      <w:r>
        <w:rPr>
          <w:b/>
          <w:bCs/>
        </w:rPr>
        <w:t xml:space="preserve">How much 2H margin inflection should investors expect in Climate?</w:t>
      </w:r>
      <w:r>
        <w:br/>
      </w:r>
      <w:r>
        <w:t xml:space="preserve">Dover has highlighted the opportunity from refrigeration-facility consolidation, CO2-system mix, and heat-exchanger volume leverage. Timing and magnitude matter.</w:t>
      </w:r>
    </w:p>
    <w:p>
      <w:pPr>
        <w:numPr>
          <w:ilvl w:val="0"/>
          <w:numId w:val="1004"/>
        </w:numPr>
      </w:pPr>
      <w:r>
        <w:rPr>
          <w:b/>
          <w:bCs/>
        </w:rPr>
        <w:t xml:space="preserve">Are tariffs still broadly neutral?</w:t>
      </w:r>
      <w:r>
        <w:br/>
      </w:r>
      <w:r>
        <w:t xml:space="preserve">In April, management said the net effect of then-current tariff changes was approximately neutral because Dover largely manufactures in-region for its customers. Trade policy has remained fluid, so updated price/cost and supply-chain commentary is needed.</w:t>
      </w:r>
    </w:p>
    <w:p>
      <w:pPr>
        <w:numPr>
          <w:ilvl w:val="0"/>
          <w:numId w:val="1004"/>
        </w:numPr>
      </w:pPr>
      <w:r>
        <w:rPr>
          <w:b/>
          <w:bCs/>
        </w:rPr>
        <w:t xml:space="preserve">Is gas compression finally improving?</w:t>
      </w:r>
      <w:r>
        <w:br/>
      </w:r>
      <w:r>
        <w:t xml:space="preserve">Turbine-related demand has remained strong; a turn in shorter-cycle midstream compression orders would create incremental upside for Pumps &amp; Process.</w:t>
      </w:r>
    </w:p>
    <w:p>
      <w:pPr>
        <w:numPr>
          <w:ilvl w:val="0"/>
          <w:numId w:val="1004"/>
        </w:numPr>
      </w:pPr>
      <w:r>
        <w:rPr>
          <w:b/>
          <w:bCs/>
        </w:rPr>
        <w:t xml:space="preserve">What is the cash-flow cadence?</w:t>
      </w:r>
      <w:r>
        <w:br/>
      </w:r>
      <w:r>
        <w:t xml:space="preserve">1Q free cash flow was</w:t>
      </w:r>
      <w:r>
        <w:t xml:space="preserve"> </w:t>
      </w:r>
      <w:r>
        <w:rPr>
          <w:b/>
          <w:bCs/>
        </w:rPr>
        <w:t xml:space="preserve">$131 million</w:t>
      </w:r>
      <w:r>
        <w:t xml:space="preserve">, or</w:t>
      </w:r>
      <w:r>
        <w:t xml:space="preserve"> </w:t>
      </w:r>
      <w:r>
        <w:rPr>
          <w:b/>
          <w:bCs/>
        </w:rPr>
        <w:t xml:space="preserve">6.4% of revenue</w:t>
      </w:r>
      <w:r>
        <w:t xml:space="preserve">, as Dover built inventory ahead of stronger seasonal shipments. Investors should expect a sequential step-up in 2Q, consistent with the company’s 14%–16% full-year FCF-margin target.</w:t>
      </w:r>
    </w:p>
    <w:p>
      <w:r>
        <w:pict>
          <v:rect style="width:0;height:1.5pt" o:hralign="center" o:hrstd="t" o:hr="t"/>
        </w:pict>
      </w:r>
    </w:p>
    <w:bookmarkEnd w:id="21"/>
    <w:bookmarkStart w:id="22" w:name="risks-into-the-print"/>
    <w:p>
      <w:pPr>
        <w:pStyle w:val="Heading2"/>
      </w:pPr>
      <w:r>
        <w:t xml:space="preserve">Risks into the print</w:t>
      </w:r>
    </w:p>
    <w:p>
      <w:pPr>
        <w:pStyle w:val="Compact"/>
        <w:numPr>
          <w:ilvl w:val="0"/>
          <w:numId w:val="1005"/>
        </w:numPr>
      </w:pPr>
      <w:r>
        <w:rPr>
          <w:b/>
          <w:bCs/>
        </w:rPr>
        <w:t xml:space="preserve">Guidance may stay unchanged despite a good quarter.</w:t>
      </w:r>
      <w:r>
        <w:t xml:space="preserve"> </w:t>
      </w:r>
      <w:r>
        <w:t xml:space="preserve">Management may prefer more confirmation that orders translate into revenue before formally lifting the annual outlook.</w:t>
      </w:r>
    </w:p>
    <w:p>
      <w:pPr>
        <w:pStyle w:val="Compact"/>
        <w:numPr>
          <w:ilvl w:val="0"/>
          <w:numId w:val="1005"/>
        </w:numPr>
      </w:pPr>
      <w:r>
        <w:rPr>
          <w:b/>
          <w:bCs/>
        </w:rPr>
        <w:t xml:space="preserve">Order timing can distort near-term expectations.</w:t>
      </w:r>
      <w:r>
        <w:t xml:space="preserve"> </w:t>
      </w:r>
      <w:r>
        <w:t xml:space="preserve">Capacity-reservation orders improve visibility but may not convert quickly enough to support aggressive 2Q revenue assumptions.</w:t>
      </w:r>
    </w:p>
    <w:p>
      <w:pPr>
        <w:pStyle w:val="Compact"/>
        <w:numPr>
          <w:ilvl w:val="0"/>
          <w:numId w:val="1005"/>
        </w:numPr>
      </w:pPr>
      <w:r>
        <w:rPr>
          <w:b/>
          <w:bCs/>
        </w:rPr>
        <w:t xml:space="preserve">Climate margin timing remains an execution issue.</w:t>
      </w:r>
      <w:r>
        <w:t xml:space="preserve"> </w:t>
      </w:r>
      <w:r>
        <w:t xml:space="preserve">Demand is strong, but the facility-consolidation project has delayed fixed-cost removal.</w:t>
      </w:r>
    </w:p>
    <w:p>
      <w:pPr>
        <w:pStyle w:val="Compact"/>
        <w:numPr>
          <w:ilvl w:val="0"/>
          <w:numId w:val="1005"/>
        </w:numPr>
      </w:pPr>
      <w:r>
        <w:rPr>
          <w:b/>
          <w:bCs/>
        </w:rPr>
        <w:t xml:space="preserve">Tariffs, metals, and trade-policy changes remain moving variables.</w:t>
      </w:r>
      <w:r>
        <w:t xml:space="preserve"> </w:t>
      </w:r>
      <w:r>
        <w:t xml:space="preserve">Dover has thus far characterized the net impact as neutral, but the company still has exposure to input costs, pricing timing, and regional demand conditions.</w:t>
      </w:r>
    </w:p>
    <w:p>
      <w:pPr>
        <w:pStyle w:val="Compact"/>
        <w:numPr>
          <w:ilvl w:val="0"/>
          <w:numId w:val="1005"/>
        </w:numPr>
      </w:pPr>
      <w:r>
        <w:rPr>
          <w:b/>
          <w:bCs/>
        </w:rPr>
        <w:t xml:space="preserve">Foreign exchange and international softness.</w:t>
      </w:r>
      <w:r>
        <w:t xml:space="preserve"> </w:t>
      </w:r>
      <w:r>
        <w:t xml:space="preserve">Imaging &amp; Identification is particularly globally exposed, and 1Q organic performance was weaker outside the U.S.</w:t>
      </w:r>
    </w:p>
    <w:p>
      <w:pPr>
        <w:pStyle w:val="Compact"/>
        <w:numPr>
          <w:ilvl w:val="0"/>
          <w:numId w:val="1005"/>
        </w:numPr>
      </w:pPr>
      <w:r>
        <w:rPr>
          <w:b/>
          <w:bCs/>
        </w:rPr>
        <w:t xml:space="preserve">The stock’s recent weakness signals a higher burden of proof.</w:t>
      </w:r>
      <w:r>
        <w:t xml:space="preserve"> </w:t>
      </w:r>
      <w:r>
        <w:t xml:space="preserve">Through July 22, DOV had fallen about</w:t>
      </w:r>
      <w:r>
        <w:t xml:space="preserve"> </w:t>
      </w:r>
      <w:r>
        <w:rPr>
          <w:b/>
          <w:bCs/>
        </w:rPr>
        <w:t xml:space="preserve">6.5%</w:t>
      </w:r>
      <w:r>
        <w:t xml:space="preserve"> </w:t>
      </w:r>
      <w:r>
        <w:t xml:space="preserve">since June 22, underperforming both the Industrial Select Sector SPDR ETF (</w:t>
      </w:r>
      <w:r>
        <w:rPr>
          <w:b/>
          <w:bCs/>
        </w:rPr>
        <w:t xml:space="preserve">-1.6%</w:t>
      </w:r>
      <w:r>
        <w:t xml:space="preserve">) and the S&amp;P 500 (</w:t>
      </w:r>
      <w:r>
        <w:rPr>
          <w:b/>
          <w:bCs/>
        </w:rPr>
        <w:t xml:space="preserve">+0.4%</w:t>
      </w:r>
      <w:r>
        <w:t xml:space="preserve">). That creates potential upside on a clean guide raise, but also means investors may be looking for a more definitive catalyst than an in-line result.</w:t>
      </w:r>
    </w:p>
    <w:bookmarkEnd w:id="22"/>
    <w:bookmarkStart w:id="24" w:name="investment-takeaway"/>
    <w:p>
      <w:pPr>
        <w:pStyle w:val="Heading2"/>
      </w:pPr>
      <w:r>
        <w:t xml:space="preserve">Investment takeaway</w:t>
      </w:r>
    </w:p>
    <w:p>
      <w:pPr>
        <w:pStyle w:val="FirstParagraph"/>
      </w:pPr>
      <w:r>
        <w:t xml:space="preserve">The fundamental read-through into 2Q is positive: Dover’s 1Q bookings, secular-growth exposure, pricing/productivity levers, and buyback-driven share-count reduction support a favorable earnings setup. The strongest potential upside catalyst is a</w:t>
      </w:r>
      <w:r>
        <w:t xml:space="preserve"> </w:t>
      </w:r>
      <w:r>
        <w:rPr>
          <w:b/>
          <w:bCs/>
        </w:rPr>
        <w:t xml:space="preserve">guidance raise</w:t>
      </w:r>
      <w:r>
        <w:t xml:space="preserve">, supported by continued strength in Clean Energy &amp; Fueling and Climate &amp; Sustainability.</w:t>
      </w:r>
    </w:p>
    <w:p>
      <w:pPr>
        <w:pStyle w:val="BodyText"/>
      </w:pPr>
      <w:r>
        <w:t xml:space="preserve">Still, the quality of the report will be judged on more than headline EPS. Investors need evidence that:</w:t>
      </w:r>
      <w:r>
        <w:t xml:space="preserve"> </w:t>
      </w:r>
      <w:r>
        <w:rPr>
          <w:b/>
          <w:bCs/>
        </w:rPr>
        <w:t xml:space="preserve">(1)</w:t>
      </w:r>
      <w:r>
        <w:t xml:space="preserve"> </w:t>
      </w:r>
      <w:r>
        <w:t xml:space="preserve">strong orders are durable and converting appropriately,</w:t>
      </w:r>
      <w:r>
        <w:t xml:space="preserve"> </w:t>
      </w:r>
      <w:r>
        <w:rPr>
          <w:b/>
          <w:bCs/>
        </w:rPr>
        <w:t xml:space="preserve">(2)</w:t>
      </w:r>
      <w:r>
        <w:t xml:space="preserve"> </w:t>
      </w:r>
      <w:r>
        <w:t xml:space="preserve">Climate margins are set to inflect in the second half, and</w:t>
      </w:r>
      <w:r>
        <w:t xml:space="preserve"> </w:t>
      </w:r>
      <w:r>
        <w:rPr>
          <w:b/>
          <w:bCs/>
        </w:rPr>
        <w:t xml:space="preserve">(3)</w:t>
      </w:r>
      <w:r>
        <w:t xml:space="preserve"> </w:t>
      </w:r>
      <w:r>
        <w:t xml:space="preserve">tariff and macro uncertainty have not eroded Dover’s price/cost or demand assumptions.</w:t>
      </w:r>
    </w:p>
    <w:bookmarkStart w:id="23" w:name="sources"/>
    <w:p>
      <w:pPr>
        <w:pStyle w:val="Heading3"/>
      </w:pPr>
      <w:r>
        <w:t xml:space="preserve">Sources</w:t>
      </w:r>
    </w:p>
    <w:p>
      <w:pPr>
        <w:pStyle w:val="Compact"/>
        <w:numPr>
          <w:ilvl w:val="0"/>
          <w:numId w:val="1006"/>
        </w:numPr>
      </w:pPr>
      <w:r>
        <w:t xml:space="preserve">Dover 1Q26 earnings release, 1Q26 Form 10-Q, and 1Q26 earnings-call transcript.</w:t>
      </w:r>
    </w:p>
    <w:p>
      <w:pPr>
        <w:pStyle w:val="Compact"/>
        <w:numPr>
          <w:ilvl w:val="0"/>
          <w:numId w:val="1006"/>
        </w:numPr>
      </w:pPr>
      <w:r>
        <w:t xml:space="preserve">Dover 2Q25 earnings release.</w:t>
      </w:r>
    </w:p>
    <w:p>
      <w:pPr>
        <w:pStyle w:val="Compact"/>
        <w:numPr>
          <w:ilvl w:val="0"/>
          <w:numId w:val="1006"/>
        </w:numPr>
      </w:pPr>
      <w:r>
        <w:t xml:space="preserve">Dover’s June 16, 2026 announcement of the July 23, 2026 earnings-release and call schedule.</w:t>
      </w:r>
    </w:p>
    <w:p>
      <w:pPr>
        <w:pStyle w:val="Compact"/>
        <w:numPr>
          <w:ilvl w:val="0"/>
          <w:numId w:val="1006"/>
        </w:numPr>
      </w:pPr>
      <w:r>
        <w:t xml:space="preserve">Historical closing-price data for DOV, XLI, and SPY through July 22, 2026.</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2026-07-23T00:40:24Z</dcterms:created>
  <dcterms:modified xsi:type="dcterms:W3CDTF">2026-07-23T00:40:24Z</dcterms:modified>
</cp:coreProperties>
</file>

<file path=docProps/custom.xml><?xml version="1.0" encoding="utf-8"?>
<Properties xmlns="http://schemas.openxmlformats.org/officeDocument/2006/custom-properties" xmlns:vt="http://schemas.openxmlformats.org/officeDocument/2006/docPropsVTypes"/>
</file>