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Dover Corporation (DOV)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DOV</w:t>
            </w:r>
          </w:p>
        </w:tc>
        <w:tc>
          <w:tcPr>
            <w:tcW w:type="dxa" w:w="2160"/>
          </w:tcPr>
          <w:p>
            <w:r>
              <w:rPr>
                <w:rFonts w:ascii="Calibri" w:hAnsi="Calibri"/>
                <w:b/>
                <w:sz w:val="22"/>
              </w:rPr>
              <w:t>Earnings Date</w:t>
            </w:r>
          </w:p>
        </w:tc>
        <w:tc>
          <w:tcPr>
            <w:tcW w:type="dxa" w:w="2160"/>
          </w:tcPr>
          <w:p>
            <w:r>
              <w:rPr>
                <w:rFonts w:ascii="Calibri" w:hAnsi="Calibri"/>
                <w:sz w:val="22"/>
              </w:rPr>
              <w:t>July 23, 2026 (pre-market)</w:t>
            </w:r>
          </w:p>
        </w:tc>
      </w:tr>
      <w:tr>
        <w:tc>
          <w:tcPr>
            <w:tcW w:type="dxa" w:w="2160"/>
          </w:tcPr>
          <w:p>
            <w:r>
              <w:rPr>
                <w:rFonts w:ascii="Calibri" w:hAnsi="Calibri"/>
                <w:b/>
                <w:sz w:val="22"/>
              </w:rPr>
              <w:t>Report Period</w:t>
            </w:r>
          </w:p>
        </w:tc>
        <w:tc>
          <w:tcPr>
            <w:tcW w:type="dxa" w:w="2160"/>
          </w:tcPr>
          <w:p>
            <w:r>
              <w:rPr>
                <w:rFonts w:ascii="Calibri" w:hAnsi="Calibri"/>
                <w:sz w:val="22"/>
              </w:rPr>
              <w:t>Q2 2026 (quarter ended June 30, 2026)</w:t>
            </w:r>
          </w:p>
        </w:tc>
        <w:tc>
          <w:tcPr>
            <w:tcW w:type="dxa" w:w="2160"/>
          </w:tcPr>
          <w:p>
            <w:r>
              <w:rPr>
                <w:rFonts w:ascii="Calibri" w:hAnsi="Calibri"/>
                <w:b/>
                <w:sz w:val="22"/>
              </w:rPr>
              <w:t>Prepared</w:t>
            </w:r>
          </w:p>
        </w:tc>
        <w:tc>
          <w:tcPr>
            <w:tcW w:type="dxa" w:w="2160"/>
          </w:tcPr>
          <w:p>
            <w:r>
              <w:rPr>
                <w:rFonts w:ascii="Calibri" w:hAnsi="Calibri"/>
                <w:sz w:val="22"/>
              </w:rPr>
              <w:t>July 22, 2026</w:t>
            </w:r>
          </w:p>
        </w:tc>
      </w:tr>
      <w:tr>
        <w:tc>
          <w:tcPr>
            <w:tcW w:type="dxa" w:w="2160"/>
          </w:tcPr>
          <w:p>
            <w:r>
              <w:rPr>
                <w:rFonts w:ascii="Calibri" w:hAnsi="Calibri"/>
                <w:b/>
                <w:sz w:val="22"/>
              </w:rPr>
              <w:t>Sector</w:t>
            </w:r>
          </w:p>
        </w:tc>
        <w:tc>
          <w:tcPr>
            <w:tcW w:type="dxa" w:w="2160"/>
          </w:tcPr>
          <w:p>
            <w:r>
              <w:rPr>
                <w:rFonts w:ascii="Calibri" w:hAnsi="Calibri"/>
                <w:sz w:val="22"/>
              </w:rPr>
              <w:t>Specialty Industrial Machinery</w:t>
            </w:r>
          </w:p>
        </w:tc>
        <w:tc>
          <w:tcPr>
            <w:tcW w:type="dxa" w:w="2160"/>
          </w:tcPr>
          <w:p>
            <w:r>
              <w:rPr>
                <w:rFonts w:ascii="Calibri" w:hAnsi="Calibri"/>
                <w:b/>
                <w:sz w:val="22"/>
              </w:rPr>
              <w:t>Sector ETF</w:t>
            </w:r>
          </w:p>
        </w:tc>
        <w:tc>
          <w:tcPr>
            <w:tcW w:type="dxa" w:w="216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slam-dunk beat — consensus sits at a manageable bar on EPS while the real swing factor is whether Climate &amp; Sustainability Technologies delivers the promised H2 margin inflection and whether bookings momentum from Q1's record print has held through June.</w:t>
      </w:r>
    </w:p>
    <w:p>
      <w:r>
        <w:rPr>
          <w:rFonts w:ascii="Calibri" w:hAnsi="Calibri"/>
          <w:color w:val="525866"/>
          <w:sz w:val="22"/>
        </w:rPr>
        <w:t xml:space="preserve">Dover heads into Q2 2026 earnings with one of the more compelling setups in the industrial space: a record Q1 bookings quarter (book-to-bill of 1.2x across all five segments), management explicitly driving to the top end of full-year guidance, and a portfolio increasingly weighted toward secular growth markets (data centers, biopharma, CO2 refrigeration) that are still in early-innings penetration. </w:t>
      </w:r>
      <w:r>
        <w:rPr>
          <w:rFonts w:ascii="Calibri" w:hAnsi="Calibri"/>
          <w:color w:val="525866"/>
          <w:sz w:val="22"/>
        </w:rPr>
        <w:t>The bar on adjusted EPS is $2.72 (consensus), implying roughly 11% year-over-year growth versus the $2.44 reported in Q2 2025 — achievable given Q2 is seasonally Dover's strongest quarter and pricing actions were front-loaded at the start of the year.</w:t>
      </w:r>
      <w:r>
        <w:rPr>
          <w:rFonts w:ascii="Calibri" w:hAnsi="Calibri"/>
          <w:color w:val="525866"/>
          <w:sz w:val="22"/>
        </w:rPr>
        <w:t xml:space="preserve"> Management's posture has shifted decisively from cautious to confident since the Q1 print: CEO Richard Tobin stated the company is "driving to the top end of the range" and signaled a likely upward revision to top-line guidance if bookings trends hold, a meaningful step-up in tone. Estimate revisions have been essentially flat since Q1 earnings (2Q EPS consensus moved from $2.72 to $2.72, FY from $10.66 to $10.67), suggesting the Street has not yet fully priced in the upside scenario management is telegraphing. The stock has underperformed XLI by roughly 6–7 percentage points since the April 23 print, trading down ~6% versus the sector's modest gain, which means the stock is not pricing in a beat — a favorable asymmetry heading into the print. The key wildcard is the Climate &amp; Sustainability Technologies margin trajectory: management flagged redundant fixed costs from a refrigeration facility consolidation running ~one quarter behind schedule, with a "material margin inflection" expected in H2 once consolidation completes; if that inflection is visible in Q2 results, it could be the catalyst that finally closes the gap between Dover's improved portfolio mix and its still-discounted multiple.</w:t>
      </w:r>
    </w:p>
    <w:p>
      <w:r>
        <w:rPr>
          <w:rFonts w:ascii="Calibri" w:hAnsi="Calibri"/>
          <w:b/>
          <w:color w:val="525866"/>
          <w:sz w:val="22"/>
        </w:rPr>
        <w:t xml:space="preserve">Bar: </w:t>
      </w:r>
      <w:r>
        <w:rPr>
          <w:rFonts w:ascii="Calibri" w:hAnsi="Calibri"/>
          <w:color w:val="525866"/>
          <w:sz w:val="22"/>
        </w:rPr>
        <w:t>Manageable. Q2 2026 adjusted EPS consensus of $2.72 implies ~11% YoY growth, consistent with management's stated double-digit EPS growth target for the full year. Organic revenue consensus of ~5.3% is at the top end of the 3–5% full-year guidance range, reflecting the strong bookings backdrop.</w:t>
      </w:r>
    </w:p>
    <w:p>
      <w:r>
        <w:rPr>
          <w:rFonts w:ascii="Calibri" w:hAnsi="Calibri"/>
          <w:b/>
          <w:color w:val="525866"/>
          <w:sz w:val="22"/>
        </w:rPr>
        <w:t xml:space="preserve">Guidance/Tone: </w:t>
      </w:r>
      <w:r>
        <w:rPr>
          <w:rFonts w:ascii="Calibri" w:hAnsi="Calibri"/>
          <w:color w:val="525866"/>
          <w:sz w:val="22"/>
        </w:rPr>
        <w:t>Shifted decisively more confident since Q1 earnings. Management explicitly stated they are "driving to the top end of the range" and will revisit guidance next quarter if bookings trends hold — a clear signal of potential upward revision.</w:t>
      </w:r>
    </w:p>
    <w:p>
      <w:r>
        <w:rPr>
          <w:rFonts w:ascii="Calibri" w:hAnsi="Calibri"/>
          <w:b/>
          <w:color w:val="525866"/>
          <w:sz w:val="22"/>
        </w:rPr>
        <w:t xml:space="preserve">Estimate Trajectory: </w:t>
      </w:r>
      <w:r>
        <w:rPr>
          <w:rFonts w:ascii="Calibri" w:hAnsi="Calibri"/>
          <w:color w:val="525866"/>
          <w:sz w:val="22"/>
        </w:rPr>
        <w:t>Flat to slightly up since Q1 earnings. Q2 EPS consensus has barely moved (~$2.72 pre- and post-Q1 print), suggesting the Street has not yet fully incorporated management's bullish tone. This gap between management signaling and estimate trajectory represents potential cushion.</w:t>
      </w:r>
    </w:p>
    <w:p>
      <w:r>
        <w:rPr>
          <w:rFonts w:ascii="Calibri" w:hAnsi="Calibri"/>
          <w:b/>
          <w:color w:val="525866"/>
          <w:sz w:val="22"/>
        </w:rPr>
        <w:t xml:space="preserve">Stock Setup: </w:t>
      </w:r>
      <w:r>
        <w:rPr>
          <w:rFonts w:ascii="Calibri" w:hAnsi="Calibri"/>
          <w:color w:val="525866"/>
          <w:sz w:val="22"/>
        </w:rPr>
        <w:t>Favorable. DOV has underperformed XLI by ~6–7 percentage points since the April 23 Q1 print, trading at ~21.5x NTM P/E versus a multiple that has compressed ~6% over the past three months. The stock is not pricing in a beat.</w:t>
      </w:r>
    </w:p>
    <w:p>
      <w:r>
        <w:rPr>
          <w:rFonts w:ascii="Calibri" w:hAnsi="Calibri"/>
          <w:b/>
          <w:color w:val="525866"/>
          <w:sz w:val="22"/>
        </w:rPr>
        <w:t xml:space="preserve">Wildcard: </w:t>
      </w:r>
      <w:r>
        <w:rPr>
          <w:rFonts w:ascii="Calibri" w:hAnsi="Calibri"/>
          <w:color w:val="525866"/>
          <w:sz w:val="22"/>
        </w:rPr>
        <w:t>Climate &amp; Sustainability Technologies margin inflection. Management guided for a "material" H2 margin improvement once the refrigeration facility consolidation completes (targeted mid-year). If Q2 results show this inflection is on track — or better yet, already beginning — it could be the re-rating catalyst the stock needs.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but not easy bar — adjusted EPS of $2.72 and organic growth of ~5.3% are both at the high end of full-year guidance, meaning any shortfall on bookings conversion or Climate &amp; Sustainability margin would be visible. Book-to-bill is the bigger swing factor: a sustained read above 1.0x would validate management's top-end guidance signal.</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(Excl. Amortization)</w:t>
            </w:r>
          </w:p>
        </w:tc>
        <w:tc>
          <w:tcPr>
            <w:tcW w:type="dxa" w:w="1234"/>
          </w:tcPr>
          <w:p>
            <w:r>
              <w:rPr>
                <w:rFonts w:ascii="Calibri" w:hAnsi="Calibri"/>
                <w:sz w:val="22"/>
              </w:rPr>
              <w:t>$2.28</w:t>
            </w:r>
          </w:p>
        </w:tc>
        <w:tc>
          <w:tcPr>
            <w:tcW w:type="dxa" w:w="1234"/>
          </w:tcPr>
          <w:p>
            <w:r>
              <w:rPr>
                <w:rFonts w:ascii="Calibri" w:hAnsi="Calibri"/>
                <w:sz w:val="22"/>
              </w:rPr>
              <w:t>$2.44</w:t>
            </w:r>
          </w:p>
        </w:tc>
        <w:tc>
          <w:tcPr>
            <w:tcW w:type="dxa" w:w="1234"/>
          </w:tcPr>
          <w:p>
            <w:r>
              <w:rPr>
                <w:rFonts w:ascii="Calibri" w:hAnsi="Calibri"/>
                <w:sz w:val="22"/>
              </w:rPr>
              <w:t>$2.72</w:t>
            </w:r>
          </w:p>
        </w:tc>
        <w:tc>
          <w:tcPr>
            <w:tcW w:type="dxa" w:w="1234"/>
          </w:tcPr>
          <w:p>
            <w:r>
              <w:rPr>
                <w:rFonts w:ascii="Calibri" w:hAnsi="Calibri"/>
                <w:sz w:val="22"/>
              </w:rPr>
              <w:t>+11.5% YoY</w:t>
            </w:r>
          </w:p>
        </w:tc>
        <w:tc>
          <w:tcPr>
            <w:tcW w:type="dxa" w:w="1234"/>
          </w:tcPr>
          <w:p>
            <w:r>
              <w:rPr>
                <w:rFonts w:ascii="Calibri" w:hAnsi="Calibri"/>
                <w:sz w:val="22"/>
              </w:rPr>
              <w:t>Double-digit EPS growth (FY); $10.45–$10.65 range</w:t>
            </w:r>
          </w:p>
        </w:tc>
        <w:tc>
          <w:tcPr>
            <w:tcW w:type="dxa" w:w="1234"/>
          </w:tcPr>
          <w:p>
            <w:r>
              <w:rPr>
                <w:rFonts w:ascii="Calibri" w:hAnsi="Calibri"/>
                <w:sz w:val="22"/>
              </w:rPr>
              <w:t>FY consensus $10.67 vs. guidance mid $10.55; +1.1% above mid</w:t>
            </w:r>
          </w:p>
        </w:tc>
      </w:tr>
      <w:tr>
        <w:tc>
          <w:tcPr>
            <w:tcW w:type="dxa" w:w="1234"/>
          </w:tcPr>
          <w:p>
            <w:r>
              <w:rPr>
                <w:rFonts w:ascii="Calibri" w:hAnsi="Calibri"/>
                <w:sz w:val="22"/>
              </w:rPr>
              <w:t>Revenue</w:t>
            </w:r>
          </w:p>
        </w:tc>
        <w:tc>
          <w:tcPr>
            <w:tcW w:type="dxa" w:w="1234"/>
          </w:tcPr>
          <w:p>
            <w:r>
              <w:rPr>
                <w:rFonts w:ascii="Calibri" w:hAnsi="Calibri"/>
                <w:sz w:val="22"/>
              </w:rPr>
              <w:t>$2,054M</w:t>
            </w:r>
          </w:p>
        </w:tc>
        <w:tc>
          <w:tcPr>
            <w:tcW w:type="dxa" w:w="1234"/>
          </w:tcPr>
          <w:p>
            <w:r>
              <w:rPr>
                <w:rFonts w:ascii="Calibri" w:hAnsi="Calibri"/>
                <w:sz w:val="22"/>
              </w:rPr>
              <w:t>$2,050M</w:t>
            </w:r>
          </w:p>
        </w:tc>
        <w:tc>
          <w:tcPr>
            <w:tcW w:type="dxa" w:w="1234"/>
          </w:tcPr>
          <w:p>
            <w:r>
              <w:rPr>
                <w:rFonts w:ascii="Calibri" w:hAnsi="Calibri"/>
                <w:sz w:val="22"/>
              </w:rPr>
              <w:t>$2,208M</w:t>
            </w:r>
          </w:p>
        </w:tc>
        <w:tc>
          <w:tcPr>
            <w:tcW w:type="dxa" w:w="1234"/>
          </w:tcPr>
          <w:p>
            <w:r>
              <w:rPr>
                <w:rFonts w:ascii="Calibri" w:hAnsi="Calibri"/>
                <w:sz w:val="22"/>
              </w:rPr>
              <w:t>+7.7% YoY</w:t>
            </w:r>
          </w:p>
        </w:tc>
        <w:tc>
          <w:tcPr>
            <w:tcW w:type="dxa" w:w="1234"/>
          </w:tcPr>
          <w:p>
            <w:r>
              <w:rPr>
                <w:rFonts w:ascii="Calibri" w:hAnsi="Calibri"/>
                <w:sz w:val="22"/>
              </w:rPr>
              <w:t>3–5% organic growth for FY 2026</w:t>
            </w:r>
          </w:p>
        </w:tc>
        <w:tc>
          <w:tcPr>
            <w:tcW w:type="dxa" w:w="1234"/>
          </w:tcPr>
          <w:p>
            <w:r>
              <w:rPr>
                <w:rFonts w:ascii="Calibri" w:hAnsi="Calibri"/>
                <w:sz w:val="22"/>
              </w:rPr>
              <w:t>Consensus implies top-end organic; tracking to upper bound of range</w:t>
            </w:r>
          </w:p>
        </w:tc>
      </w:tr>
      <w:tr>
        <w:tc>
          <w:tcPr>
            <w:tcW w:type="dxa" w:w="1234"/>
          </w:tcPr>
          <w:p>
            <w:r>
              <w:rPr>
                <w:rFonts w:ascii="Calibri" w:hAnsi="Calibri"/>
                <w:sz w:val="22"/>
              </w:rPr>
              <w:t>Organic Revenue Growth</w:t>
            </w:r>
          </w:p>
        </w:tc>
        <w:tc>
          <w:tcPr>
            <w:tcW w:type="dxa" w:w="1234"/>
          </w:tcPr>
          <w:p>
            <w:r>
              <w:rPr>
                <w:rFonts w:ascii="Calibri" w:hAnsi="Calibri"/>
                <w:sz w:val="22"/>
              </w:rPr>
              <w:t>+5.3%</w:t>
            </w:r>
          </w:p>
        </w:tc>
        <w:tc>
          <w:tcPr>
            <w:tcW w:type="dxa" w:w="1234"/>
          </w:tcPr>
          <w:p>
            <w:r>
              <w:rPr>
                <w:rFonts w:ascii="Calibri" w:hAnsi="Calibri"/>
                <w:sz w:val="22"/>
              </w:rPr>
              <w:t>+0.8%</w:t>
            </w:r>
          </w:p>
        </w:tc>
        <w:tc>
          <w:tcPr>
            <w:tcW w:type="dxa" w:w="1234"/>
          </w:tcPr>
          <w:p>
            <w:r>
              <w:rPr>
                <w:rFonts w:ascii="Calibri" w:hAnsi="Calibri"/>
                <w:sz w:val="22"/>
              </w:rPr>
              <w:t>~+5.3%</w:t>
            </w:r>
          </w:p>
        </w:tc>
        <w:tc>
          <w:tcPr>
            <w:tcW w:type="dxa" w:w="1234"/>
          </w:tcPr>
          <w:p>
            <w:r>
              <w:rPr>
                <w:rFonts w:ascii="Calibri" w:hAnsi="Calibri"/>
                <w:sz w:val="22"/>
              </w:rPr>
              <w:t>+450 bps YoY</w:t>
            </w:r>
          </w:p>
        </w:tc>
        <w:tc>
          <w:tcPr>
            <w:tcW w:type="dxa" w:w="1234"/>
          </w:tcPr>
          <w:p>
            <w:r>
              <w:rPr>
                <w:rFonts w:ascii="Calibri" w:hAnsi="Calibri"/>
                <w:sz w:val="22"/>
              </w:rPr>
              <w:t>3–5% FY organic growth</w:t>
            </w:r>
          </w:p>
        </w:tc>
        <w:tc>
          <w:tcPr>
            <w:tcW w:type="dxa" w:w="1234"/>
          </w:tcPr>
          <w:p>
            <w:r>
              <w:rPr>
                <w:rFonts w:ascii="Calibri" w:hAnsi="Calibri"/>
                <w:sz w:val="22"/>
              </w:rPr>
              <w:t>At top end of guidance range; management driving to upper bound</w:t>
            </w:r>
          </w:p>
        </w:tc>
      </w:tr>
      <w:tr>
        <w:tc>
          <w:tcPr>
            <w:tcW w:type="dxa" w:w="1234"/>
          </w:tcPr>
          <w:p>
            <w:r>
              <w:rPr>
                <w:rFonts w:ascii="Calibri" w:hAnsi="Calibri"/>
                <w:sz w:val="22"/>
              </w:rPr>
              <w:t>EBITDA Margin (Operating)</w:t>
            </w:r>
          </w:p>
        </w:tc>
        <w:tc>
          <w:tcPr>
            <w:tcW w:type="dxa" w:w="1234"/>
          </w:tcPr>
          <w:p>
            <w:r>
              <w:rPr>
                <w:rFonts w:ascii="Calibri" w:hAnsi="Calibri"/>
                <w:sz w:val="22"/>
              </w:rPr>
              <w:t>21.7%</w:t>
            </w:r>
          </w:p>
        </w:tc>
        <w:tc>
          <w:tcPr>
            <w:tcW w:type="dxa" w:w="1234"/>
          </w:tcPr>
          <w:p>
            <w:r>
              <w:rPr>
                <w:rFonts w:ascii="Calibri" w:hAnsi="Calibri"/>
                <w:sz w:val="22"/>
              </w:rPr>
              <w:t>23.0%</w:t>
            </w:r>
          </w:p>
        </w:tc>
        <w:tc>
          <w:tcPr>
            <w:tcW w:type="dxa" w:w="1234"/>
          </w:tcPr>
          <w:p>
            <w:r>
              <w:rPr>
                <w:rFonts w:ascii="Calibri" w:hAnsi="Calibri"/>
                <w:sz w:val="22"/>
              </w:rPr>
              <w:t>~23.5%</w:t>
            </w:r>
          </w:p>
        </w:tc>
        <w:tc>
          <w:tcPr>
            <w:tcW w:type="dxa" w:w="1234"/>
          </w:tcPr>
          <w:p>
            <w:r>
              <w:rPr>
                <w:rFonts w:ascii="Calibri" w:hAnsi="Calibri"/>
                <w:sz w:val="22"/>
              </w:rPr>
              <w:t>+50 bps YoY</w:t>
            </w:r>
          </w:p>
        </w:tc>
        <w:tc>
          <w:tcPr>
            <w:tcW w:type="dxa" w:w="1234"/>
          </w:tcPr>
          <w:p>
            <w:r>
              <w:rPr>
                <w:rFonts w:ascii="Calibri" w:hAnsi="Calibri"/>
                <w:sz w:val="22"/>
              </w:rPr>
              <w:t>FY 2026 consensus ~23.5%</w:t>
            </w:r>
          </w:p>
        </w:tc>
        <w:tc>
          <w:tcPr>
            <w:tcW w:type="dxa" w:w="1234"/>
          </w:tcPr>
          <w:p>
            <w:r>
              <w:rPr>
                <w:rFonts w:ascii="Calibri" w:hAnsi="Calibri"/>
                <w:sz w:val="22"/>
              </w:rPr>
              <w:t>Consensus in line with FY target; H2 inflection in CST key to delivery</w:t>
            </w:r>
          </w:p>
        </w:tc>
      </w:tr>
      <w:tr>
        <w:tc>
          <w:tcPr>
            <w:tcW w:type="dxa" w:w="1234"/>
          </w:tcPr>
          <w:p>
            <w:r>
              <w:rPr>
                <w:rFonts w:ascii="Calibri" w:hAnsi="Calibri"/>
                <w:sz w:val="22"/>
              </w:rPr>
              <w:t>Book-to-Bill Ratio</w:t>
            </w:r>
          </w:p>
        </w:tc>
        <w:tc>
          <w:tcPr>
            <w:tcW w:type="dxa" w:w="1234"/>
          </w:tcPr>
          <w:p>
            <w:r>
              <w:rPr>
                <w:rFonts w:ascii="Calibri" w:hAnsi="Calibri"/>
                <w:sz w:val="22"/>
              </w:rPr>
              <w:t>1.20x (record)</w:t>
            </w:r>
          </w:p>
        </w:tc>
        <w:tc>
          <w:tcPr>
            <w:tcW w:type="dxa" w:w="1234"/>
          </w:tcPr>
          <w:p>
            <w:r>
              <w:rPr>
                <w:rFonts w:ascii="Calibri" w:hAnsi="Calibri"/>
                <w:sz w:val="22"/>
              </w:rPr>
              <w:t>0.98x</w:t>
            </w:r>
          </w:p>
        </w:tc>
        <w:tc>
          <w:tcPr>
            <w:tcW w:type="dxa" w:w="1234"/>
          </w:tcPr>
          <w:p>
            <w:r>
              <w:rPr>
                <w:rFonts w:ascii="Calibri" w:hAnsi="Calibri"/>
                <w:sz w:val="22"/>
              </w:rPr>
              <w:t>~1.05x</w:t>
            </w:r>
          </w:p>
        </w:tc>
        <w:tc>
          <w:tcPr>
            <w:tcW w:type="dxa" w:w="1234"/>
          </w:tcPr>
          <w:p>
            <w:r>
              <w:rPr>
                <w:rFonts w:ascii="Calibri" w:hAnsi="Calibri"/>
                <w:sz w:val="22"/>
              </w:rPr>
              <w:t>+0.07x YoY</w:t>
            </w:r>
          </w:p>
        </w:tc>
        <w:tc>
          <w:tcPr>
            <w:tcW w:type="dxa" w:w="1234"/>
          </w:tcPr>
          <w:p>
            <w:r>
              <w:rPr>
                <w:rFonts w:ascii="Calibri" w:hAnsi="Calibri"/>
                <w:sz w:val="22"/>
              </w:rPr>
              <w:t>N/A — no formal guidance</w:t>
            </w:r>
          </w:p>
        </w:tc>
        <w:tc>
          <w:tcPr>
            <w:tcW w:type="dxa" w:w="1234"/>
          </w:tcPr>
          <w:p>
            <w:r>
              <w:rPr>
                <w:rFonts w:ascii="Calibri" w:hAnsi="Calibri"/>
                <w:sz w:val="22"/>
              </w:rPr>
              <w:t>Consensus expects normalization from Q1 record; any sustained &gt;1.0x is positive</w:t>
            </w:r>
          </w:p>
        </w:tc>
      </w:tr>
    </w:tbl>
    <w:p>
      <w:r>
        <w:rPr>
          <w:rFonts w:ascii="Calibri" w:hAnsi="Calibri"/>
          <w:color w:val="525866"/>
          <w:sz w:val="22"/>
        </w:rPr>
        <w:t>Source: Visible Alpha Consensus and Actuals Data. All consensus figures as of July 22, 2026. Q1 2026 actuals and Q2 2025 actuals from Visible Alpha reported figures. FY 2026 guidance from Q1 2026 earnings call (April 23, 2026).</w:t>
      </w:r>
    </w:p>
    <w:p>
      <w:pPr>
        <w:pStyle w:val="Heading3"/>
      </w:pPr>
      <w:r>
        <w:rPr>
          <w:rFonts w:ascii="Calibri" w:hAnsi="Calibri"/>
          <w:b/>
          <w:color w:val="3B4259"/>
          <w:sz w:val="24"/>
        </w:rPr>
        <w:t>Table 2 — Beat/Miss History: Adjusted EPS &amp; Organic Revenue Growth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$2.28</w:t>
            </w:r>
          </w:p>
        </w:tc>
        <w:tc>
          <w:tcPr>
            <w:tcW w:type="dxa" w:w="1440"/>
          </w:tcPr>
          <w:p>
            <w:r>
              <w:rPr>
                <w:rFonts w:ascii="Calibri" w:hAnsi="Calibri"/>
                <w:sz w:val="22"/>
              </w:rPr>
              <w:t>$2.27</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+5.3%</w:t>
            </w:r>
          </w:p>
        </w:tc>
        <w:tc>
          <w:tcPr>
            <w:tcW w:type="dxa" w:w="1440"/>
          </w:tcPr>
          <w:p>
            <w:r>
              <w:rPr>
                <w:rFonts w:ascii="Calibri" w:hAnsi="Calibri"/>
                <w:sz w:val="22"/>
              </w:rPr>
              <w:t>+3.5%</w:t>
            </w:r>
          </w:p>
        </w:tc>
        <w:tc>
          <w:tcPr>
            <w:tcW w:type="dxa" w:w="1440"/>
          </w:tcPr>
          <w:p>
            <w:r>
              <w:rPr>
                <w:rFonts w:ascii="Calibri" w:hAnsi="Calibri"/>
                <w:sz w:val="22"/>
              </w:rPr>
              <w:t>+180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$2.51</w:t>
            </w:r>
          </w:p>
        </w:tc>
        <w:tc>
          <w:tcPr>
            <w:tcW w:type="dxa" w:w="1440"/>
          </w:tcPr>
          <w:p>
            <w:r>
              <w:rPr>
                <w:rFonts w:ascii="Calibri" w:hAnsi="Calibri"/>
                <w:sz w:val="22"/>
              </w:rPr>
              <w:t>$2.49</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+4.6%</w:t>
            </w:r>
          </w:p>
        </w:tc>
        <w:tc>
          <w:tcPr>
            <w:tcW w:type="dxa" w:w="1440"/>
          </w:tcPr>
          <w:p>
            <w:r>
              <w:rPr>
                <w:rFonts w:ascii="Calibri" w:hAnsi="Calibri"/>
                <w:sz w:val="22"/>
              </w:rPr>
              <w:t>+4.1%</w:t>
            </w:r>
          </w:p>
        </w:tc>
        <w:tc>
          <w:tcPr>
            <w:tcW w:type="dxa" w:w="1440"/>
          </w:tcPr>
          <w:p>
            <w:r>
              <w:rPr>
                <w:rFonts w:ascii="Calibri" w:hAnsi="Calibri"/>
                <w:sz w:val="22"/>
              </w:rPr>
              <w:t>+50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$2.62</w:t>
            </w:r>
          </w:p>
        </w:tc>
        <w:tc>
          <w:tcPr>
            <w:tcW w:type="dxa" w:w="1440"/>
          </w:tcPr>
          <w:p>
            <w:r>
              <w:rPr>
                <w:rFonts w:ascii="Calibri" w:hAnsi="Calibri"/>
                <w:sz w:val="22"/>
              </w:rPr>
              <w:t>$2.50</w:t>
            </w:r>
          </w:p>
        </w:tc>
        <w:tc>
          <w:tcPr>
            <w:tcW w:type="dxa" w:w="1440"/>
          </w:tcPr>
          <w:p>
            <w:r>
              <w:rPr>
                <w:rFonts w:ascii="Calibri" w:hAnsi="Calibri"/>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+0.5%</w:t>
            </w:r>
          </w:p>
        </w:tc>
        <w:tc>
          <w:tcPr>
            <w:tcW w:type="dxa" w:w="1440"/>
          </w:tcPr>
          <w:p>
            <w:r>
              <w:rPr>
                <w:rFonts w:ascii="Calibri" w:hAnsi="Calibri"/>
                <w:sz w:val="22"/>
              </w:rPr>
              <w:t>+2.7%</w:t>
            </w:r>
          </w:p>
        </w:tc>
        <w:tc>
          <w:tcPr>
            <w:tcW w:type="dxa" w:w="1440"/>
          </w:tcPr>
          <w:p>
            <w:r>
              <w:rPr>
                <w:rFonts w:ascii="Calibri" w:hAnsi="Calibri"/>
                <w:sz w:val="22"/>
              </w:rPr>
              <w:t>−220 bps</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$2.44</w:t>
            </w:r>
          </w:p>
        </w:tc>
        <w:tc>
          <w:tcPr>
            <w:tcW w:type="dxa" w:w="1440"/>
          </w:tcPr>
          <w:p>
            <w:r>
              <w:rPr>
                <w:rFonts w:ascii="Calibri" w:hAnsi="Calibri"/>
                <w:sz w:val="22"/>
              </w:rPr>
              <w:t>$2.38</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+0.8%</w:t>
            </w:r>
          </w:p>
        </w:tc>
        <w:tc>
          <w:tcPr>
            <w:tcW w:type="dxa" w:w="1440"/>
          </w:tcPr>
          <w:p>
            <w:r>
              <w:rPr>
                <w:rFonts w:ascii="Calibri" w:hAnsi="Calibri"/>
                <w:sz w:val="22"/>
              </w:rPr>
              <w:t>−1.2%</w:t>
            </w:r>
          </w:p>
        </w:tc>
        <w:tc>
          <w:tcPr>
            <w:tcW w:type="dxa" w:w="1440"/>
          </w:tcPr>
          <w:p>
            <w:r>
              <w:rPr>
                <w:rFonts w:ascii="Calibri" w:hAnsi="Calibri"/>
                <w:sz w:val="22"/>
              </w:rPr>
              <w:t>+200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Dover has beaten adjusted EPS consensus in 7 of the last 8 reported quarters, with the sole organic growth miss in Q3 2025 driven by tariff-related customer hesitation that management has since characterized as resolved. The consistent EPS beat pattern, combined with management's explicit top-end guidance signal, supports a constructive setup.</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 since the Q1 2026 earnings call, but management's tone has shifted materially — from reaffirming guidance to explicitly driving to the top end and signaling a likely upward revision next quarter. The Climate &amp; Sustainability Technologies margin story is the key watch item: management expects a "material inflection" in H2 once facility consolidation completes.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EPS</w:t>
            </w:r>
          </w:p>
        </w:tc>
        <w:tc>
          <w:tcPr>
            <w:tcW w:type="dxa" w:w="1728"/>
          </w:tcPr>
          <w:p>
            <w:r>
              <w:rPr>
                <w:rFonts w:ascii="Calibri" w:hAnsi="Calibri"/>
                <w:sz w:val="22"/>
              </w:rPr>
              <w:t>$10.45–$10.65 (double-digit growth)</w:t>
            </w:r>
          </w:p>
        </w:tc>
        <w:tc>
          <w:tcPr>
            <w:tcW w:type="dxa" w:w="1728"/>
          </w:tcPr>
          <w:p>
            <w:r>
              <w:rPr>
                <w:rFonts w:ascii="Calibri" w:hAnsi="Calibri"/>
                <w:sz w:val="22"/>
              </w:rPr>
              <w:t>—</w:t>
            </w:r>
          </w:p>
        </w:tc>
        <w:tc>
          <w:tcPr>
            <w:tcW w:type="dxa" w:w="1728"/>
          </w:tcPr>
          <w:p>
            <w:r>
              <w:rPr>
                <w:rFonts w:ascii="Calibri" w:hAnsi="Calibri"/>
                <w:sz w:val="22"/>
              </w:rPr>
              <w:t>$10.67</w:t>
            </w:r>
          </w:p>
        </w:tc>
        <w:tc>
          <w:tcPr>
            <w:tcW w:type="dxa" w:w="1728"/>
          </w:tcPr>
          <w:p>
            <w:r>
              <w:rPr>
                <w:rFonts w:ascii="Calibri" w:hAnsi="Calibri"/>
                <w:sz w:val="22"/>
              </w:rPr>
              <w:t>Unchanged; mgmt driving to top end ($10.65); consensus slightly above mid. Upward revision signaled for Q2 call if bookings hold.</w:t>
            </w:r>
          </w:p>
        </w:tc>
      </w:tr>
      <w:tr>
        <w:tc>
          <w:tcPr>
            <w:tcW w:type="dxa" w:w="1728"/>
          </w:tcPr>
          <w:p>
            <w:r>
              <w:rPr>
                <w:rFonts w:ascii="Calibri" w:hAnsi="Calibri"/>
                <w:sz w:val="22"/>
              </w:rPr>
              <w:t>FY 2026 Organic Revenue Growth</w:t>
            </w:r>
          </w:p>
        </w:tc>
        <w:tc>
          <w:tcPr>
            <w:tcW w:type="dxa" w:w="1728"/>
          </w:tcPr>
          <w:p>
            <w:r>
              <w:rPr>
                <w:rFonts w:ascii="Calibri" w:hAnsi="Calibri"/>
                <w:sz w:val="22"/>
              </w:rPr>
              <w:t>3–5%</w:t>
            </w:r>
          </w:p>
        </w:tc>
        <w:tc>
          <w:tcPr>
            <w:tcW w:type="dxa" w:w="1728"/>
          </w:tcPr>
          <w:p>
            <w:r>
              <w:rPr>
                <w:rFonts w:ascii="Calibri" w:hAnsi="Calibri"/>
                <w:sz w:val="22"/>
              </w:rPr>
              <w:t>—</w:t>
            </w:r>
          </w:p>
        </w:tc>
        <w:tc>
          <w:tcPr>
            <w:tcW w:type="dxa" w:w="1728"/>
          </w:tcPr>
          <w:p>
            <w:r>
              <w:rPr>
                <w:rFonts w:ascii="Calibri" w:hAnsi="Calibri"/>
                <w:sz w:val="22"/>
              </w:rPr>
              <w:t>~5.4%</w:t>
            </w:r>
          </w:p>
        </w:tc>
        <w:tc>
          <w:tcPr>
            <w:tcW w:type="dxa" w:w="1728"/>
          </w:tcPr>
          <w:p>
            <w:r>
              <w:rPr>
                <w:rFonts w:ascii="Calibri" w:hAnsi="Calibri"/>
                <w:sz w:val="22"/>
              </w:rPr>
              <w:t>Unchanged; mgmt explicitly stated "driving clearly to the top end of the guide" and will revisit top-line expectations next quarter if bookings trends hold.</w:t>
            </w:r>
          </w:p>
        </w:tc>
      </w:tr>
      <w:tr>
        <w:tc>
          <w:tcPr>
            <w:tcW w:type="dxa" w:w="1728"/>
          </w:tcPr>
          <w:p>
            <w:r>
              <w:rPr>
                <w:rFonts w:ascii="Calibri" w:hAnsi="Calibri"/>
                <w:sz w:val="22"/>
              </w:rPr>
              <w:t>FY 2026 Free Cash Flow</w:t>
            </w:r>
          </w:p>
        </w:tc>
        <w:tc>
          <w:tcPr>
            <w:tcW w:type="dxa" w:w="1728"/>
          </w:tcPr>
          <w:p>
            <w:r>
              <w:rPr>
                <w:rFonts w:ascii="Calibri" w:hAnsi="Calibri"/>
                <w:sz w:val="22"/>
              </w:rPr>
              <w:t>14–16% of revenue</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on track per Q1 commentary.</w:t>
            </w:r>
          </w:p>
        </w:tc>
      </w:tr>
      <w:tr>
        <w:tc>
          <w:tcPr>
            <w:tcW w:type="dxa" w:w="1728"/>
          </w:tcPr>
          <w:p>
            <w:r>
              <w:rPr>
                <w:rFonts w:ascii="Calibri" w:hAnsi="Calibri"/>
                <w:sz w:val="22"/>
              </w:rPr>
              <w:t>FY 2026 CapEx</w:t>
            </w:r>
          </w:p>
        </w:tc>
        <w:tc>
          <w:tcPr>
            <w:tcW w:type="dxa" w:w="1728"/>
          </w:tcPr>
          <w:p>
            <w:r>
              <w:rPr>
                <w:rFonts w:ascii="Calibri" w:hAnsi="Calibri"/>
                <w:sz w:val="22"/>
              </w:rPr>
              <w:t>$190–$210M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includes new CO2 production line at Conyers, GA and heat exchanger capacity additions.</w:t>
            </w:r>
          </w:p>
        </w:tc>
      </w:tr>
      <w:tr>
        <w:tc>
          <w:tcPr>
            <w:tcW w:type="dxa" w:w="1728"/>
          </w:tcPr>
          <w:p>
            <w:r>
              <w:rPr>
                <w:rFonts w:ascii="Calibri" w:hAnsi="Calibri"/>
                <w:sz w:val="22"/>
              </w:rPr>
              <w:t>CST Segment Margin (H2 2026)</w:t>
            </w:r>
          </w:p>
        </w:tc>
        <w:tc>
          <w:tcPr>
            <w:tcW w:type="dxa" w:w="1728"/>
          </w:tcPr>
          <w:p>
            <w:r>
              <w:rPr>
                <w:rFonts w:ascii="Calibri" w:hAnsi="Calibri"/>
                <w:sz w:val="22"/>
              </w:rPr>
              <w:t>"Material inflection" in H2 once facility consolidation completes (targeted mid-year)</w:t>
            </w:r>
          </w:p>
        </w:tc>
        <w:tc>
          <w:tcPr>
            <w:tcW w:type="dxa" w:w="1728"/>
          </w:tcPr>
          <w:p>
            <w:r>
              <w:rPr>
                <w:rFonts w:ascii="Calibri" w:hAnsi="Calibri"/>
                <w:sz w:val="22"/>
              </w:rPr>
              <w:t>—</w:t>
            </w:r>
          </w:p>
        </w:tc>
        <w:tc>
          <w:tcPr>
            <w:tcW w:type="dxa" w:w="1728"/>
          </w:tcPr>
          <w:p>
            <w:r>
              <w:rPr>
                <w:rFonts w:ascii="Calibri" w:hAnsi="Calibri"/>
                <w:sz w:val="22"/>
              </w:rPr>
              <w:t>~23.5% FY EBITDA margin (Operating)</w:t>
            </w:r>
          </w:p>
        </w:tc>
        <w:tc>
          <w:tcPr>
            <w:tcW w:type="dxa" w:w="1728"/>
          </w:tcPr>
          <w:p>
            <w:r>
              <w:rPr>
                <w:rFonts w:ascii="Calibri" w:hAnsi="Calibri"/>
                <w:sz w:val="22"/>
              </w:rPr>
              <w:t>Key watch item: redundant fixed costs from refrigeration consolidation running ~1 quarter behind schedule; Q2 may still carry some drag before H2 inflection.</w:t>
            </w:r>
          </w:p>
        </w:tc>
      </w:tr>
      <w:tr>
        <w:tc>
          <w:tcPr>
            <w:tcW w:type="dxa" w:w="1728"/>
          </w:tcPr>
          <w:p>
            <w:r>
              <w:rPr>
                <w:rFonts w:ascii="Calibri" w:hAnsi="Calibri"/>
                <w:sz w:val="22"/>
              </w:rPr>
              <w:t>Restructuring Savings (FY 2026)</w:t>
            </w:r>
          </w:p>
        </w:tc>
        <w:tc>
          <w:tcPr>
            <w:tcW w:type="dxa" w:w="1728"/>
          </w:tcPr>
          <w:p>
            <w:r>
              <w:rPr>
                <w:rFonts w:ascii="Calibri" w:hAnsi="Calibri"/>
                <w:sz w:val="22"/>
              </w:rPr>
              <w:t>&gt;$40M in rightsizing savings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incremental carryover benefits into 2027 also expected.</w:t>
            </w:r>
          </w:p>
        </w:tc>
      </w:tr>
    </w:tbl>
    <w:p>
      <w:r>
        <w:rPr>
          <w:rFonts w:ascii="Calibri" w:hAnsi="Calibri"/>
          <w:color w:val="525866"/>
          <w:sz w:val="22"/>
        </w:rPr>
        <w:t>No post-earnings events (8-K, investor day, conference) have formally revised guidance since the April 23, 2026 Q1 earnings call. The only corporate event filed since then was a June 16, 2026 press release announcing the Q2 earnings date and webcast, and a May 12, 2026 8-K confirming shareholders rejected an independent board chair proposal at the annual meeting — neither changed financial guidance.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Q1 earnings — Q2 EPS consensus moved less than 1 cent and FY EPS moved less than 1 cent — suggesting the Street has not yet incorporated management's explicit top-end guidance signal. This flat revision trajectory, combined with management's bullish tone, represents a potential positive surprise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(Q2 2026)</w:t>
            </w:r>
          </w:p>
        </w:tc>
        <w:tc>
          <w:tcPr>
            <w:tcW w:type="dxa" w:w="1080"/>
          </w:tcPr>
          <w:p>
            <w:r>
              <w:rPr>
                <w:rFonts w:ascii="Calibri" w:hAnsi="Calibri"/>
                <w:sz w:val="22"/>
              </w:rPr>
              <w:t>$2.72</w:t>
            </w:r>
          </w:p>
        </w:tc>
        <w:tc>
          <w:tcPr>
            <w:tcW w:type="dxa" w:w="1080"/>
          </w:tcPr>
          <w:p>
            <w:r>
              <w:rPr>
                <w:rFonts w:ascii="Calibri" w:hAnsi="Calibri"/>
                <w:sz w:val="22"/>
              </w:rPr>
              <w:t>$2.72</w:t>
            </w:r>
          </w:p>
        </w:tc>
        <w:tc>
          <w:tcPr>
            <w:tcW w:type="dxa" w:w="1080"/>
          </w:tcPr>
          <w:p>
            <w:r>
              <w:rPr>
                <w:rFonts w:ascii="Calibri" w:hAnsi="Calibri"/>
                <w:sz w:val="22"/>
              </w:rPr>
              <w:t>~0%</w:t>
            </w:r>
          </w:p>
        </w:tc>
        <w:tc>
          <w:tcPr>
            <w:tcW w:type="dxa" w:w="1080"/>
          </w:tcPr>
          <w:p>
            <w:r>
              <w:rPr>
                <w:rFonts w:ascii="Calibri" w:hAnsi="Calibri"/>
                <w:sz w:val="22"/>
              </w:rPr>
              <w:t>No specific Q2 guidance; FY $10.45–$10.65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~$2.72 for Q2 vs. seasonally strongest quarter; in line with historical pattern</w:t>
            </w:r>
          </w:p>
        </w:tc>
      </w:tr>
      <w:tr>
        <w:tc>
          <w:tcPr>
            <w:tcW w:type="dxa" w:w="1080"/>
          </w:tcPr>
          <w:p>
            <w:r>
              <w:rPr>
                <w:rFonts w:ascii="Calibri" w:hAnsi="Calibri"/>
                <w:sz w:val="22"/>
              </w:rPr>
              <w:t>Revenue (Q2 2026)</w:t>
            </w:r>
          </w:p>
        </w:tc>
        <w:tc>
          <w:tcPr>
            <w:tcW w:type="dxa" w:w="1080"/>
          </w:tcPr>
          <w:p>
            <w:r>
              <w:rPr>
                <w:rFonts w:ascii="Calibri" w:hAnsi="Calibri"/>
                <w:sz w:val="22"/>
              </w:rPr>
              <w:t>$2,207M</w:t>
            </w:r>
          </w:p>
        </w:tc>
        <w:tc>
          <w:tcPr>
            <w:tcW w:type="dxa" w:w="1080"/>
          </w:tcPr>
          <w:p>
            <w:r>
              <w:rPr>
                <w:rFonts w:ascii="Calibri" w:hAnsi="Calibri"/>
                <w:sz w:val="22"/>
              </w:rPr>
              <w:t>$2,208M</w:t>
            </w:r>
          </w:p>
        </w:tc>
        <w:tc>
          <w:tcPr>
            <w:tcW w:type="dxa" w:w="1080"/>
          </w:tcPr>
          <w:p>
            <w:r>
              <w:rPr>
                <w:rFonts w:ascii="Calibri" w:hAnsi="Calibri"/>
                <w:sz w:val="22"/>
              </w:rPr>
              <w:t>+0.1%</w:t>
            </w:r>
          </w:p>
        </w:tc>
        <w:tc>
          <w:tcPr>
            <w:tcW w:type="dxa" w:w="1080"/>
          </w:tcPr>
          <w:p>
            <w:r>
              <w:rPr>
                <w:rFonts w:ascii="Calibri" w:hAnsi="Calibri"/>
                <w:sz w:val="22"/>
              </w:rPr>
              <w:t>3–5% organic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~5.3% organic; at top end of guidance range</w:t>
            </w:r>
          </w:p>
        </w:tc>
      </w:tr>
      <w:tr>
        <w:tc>
          <w:tcPr>
            <w:tcW w:type="dxa" w:w="1080"/>
          </w:tcPr>
          <w:p>
            <w:r>
              <w:rPr>
                <w:rFonts w:ascii="Calibri" w:hAnsi="Calibri"/>
                <w:sz w:val="22"/>
              </w:rPr>
              <w:t>Organic Growth (Q2 2026)</w:t>
            </w:r>
          </w:p>
        </w:tc>
        <w:tc>
          <w:tcPr>
            <w:tcW w:type="dxa" w:w="1080"/>
          </w:tcPr>
          <w:p>
            <w:r>
              <w:rPr>
                <w:rFonts w:ascii="Calibri" w:hAnsi="Calibri"/>
                <w:sz w:val="22"/>
              </w:rPr>
              <w:t>~5.3%</w:t>
            </w:r>
          </w:p>
        </w:tc>
        <w:tc>
          <w:tcPr>
            <w:tcW w:type="dxa" w:w="1080"/>
          </w:tcPr>
          <w:p>
            <w:r>
              <w:rPr>
                <w:rFonts w:ascii="Calibri" w:hAnsi="Calibri"/>
                <w:sz w:val="22"/>
              </w:rPr>
              <w:t>~5.3%</w:t>
            </w:r>
          </w:p>
        </w:tc>
        <w:tc>
          <w:tcPr>
            <w:tcW w:type="dxa" w:w="1080"/>
          </w:tcPr>
          <w:p>
            <w:r>
              <w:rPr>
                <w:rFonts w:ascii="Calibri" w:hAnsi="Calibri"/>
                <w:sz w:val="22"/>
              </w:rPr>
              <w:t>~0%</w:t>
            </w:r>
          </w:p>
        </w:tc>
        <w:tc>
          <w:tcPr>
            <w:tcW w:type="dxa" w:w="1080"/>
          </w:tcPr>
          <w:p>
            <w:r>
              <w:rPr>
                <w:rFonts w:ascii="Calibri" w:hAnsi="Calibri"/>
                <w:sz w:val="22"/>
              </w:rPr>
              <w:t>3–5% FY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 bps above top end of FY range; mgmt driving to top end</w:t>
            </w:r>
          </w:p>
        </w:tc>
      </w:tr>
      <w:tr>
        <w:tc>
          <w:tcPr>
            <w:tcW w:type="dxa" w:w="1080"/>
          </w:tcPr>
          <w:p>
            <w:r>
              <w:rPr>
                <w:rFonts w:ascii="Calibri" w:hAnsi="Calibri"/>
                <w:sz w:val="22"/>
              </w:rPr>
              <w:t>Adj. EPS (FY 2026)</w:t>
            </w:r>
          </w:p>
        </w:tc>
        <w:tc>
          <w:tcPr>
            <w:tcW w:type="dxa" w:w="1080"/>
          </w:tcPr>
          <w:p>
            <w:r>
              <w:rPr>
                <w:rFonts w:ascii="Calibri" w:hAnsi="Calibri"/>
                <w:sz w:val="22"/>
              </w:rPr>
              <w:t>$10.66</w:t>
            </w:r>
          </w:p>
        </w:tc>
        <w:tc>
          <w:tcPr>
            <w:tcW w:type="dxa" w:w="1080"/>
          </w:tcPr>
          <w:p>
            <w:r>
              <w:rPr>
                <w:rFonts w:ascii="Calibri" w:hAnsi="Calibri"/>
                <w:sz w:val="22"/>
              </w:rPr>
              <w:t>$10.67</w:t>
            </w:r>
          </w:p>
        </w:tc>
        <w:tc>
          <w:tcPr>
            <w:tcW w:type="dxa" w:w="1080"/>
          </w:tcPr>
          <w:p>
            <w:r>
              <w:rPr>
                <w:rFonts w:ascii="Calibri" w:hAnsi="Calibri"/>
                <w:sz w:val="22"/>
              </w:rPr>
              <w:t>+0.1%</w:t>
            </w:r>
          </w:p>
        </w:tc>
        <w:tc>
          <w:tcPr>
            <w:tcW w:type="dxa" w:w="1080"/>
          </w:tcPr>
          <w:p>
            <w:r>
              <w:rPr>
                <w:rFonts w:ascii="Calibri" w:hAnsi="Calibri"/>
                <w:sz w:val="22"/>
              </w:rPr>
              <w:t>$10.45–$10.65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guidance top end ($10.65); minimal cushion</w:t>
            </w:r>
          </w:p>
        </w:tc>
      </w:tr>
      <w:tr>
        <w:tc>
          <w:tcPr>
            <w:tcW w:type="dxa" w:w="1080"/>
          </w:tcPr>
          <w:p>
            <w:r>
              <w:rPr>
                <w:rFonts w:ascii="Calibri" w:hAnsi="Calibri"/>
                <w:sz w:val="22"/>
              </w:rPr>
              <w:t>Revenue (FY 2026)</w:t>
            </w:r>
          </w:p>
        </w:tc>
        <w:tc>
          <w:tcPr>
            <w:tcW w:type="dxa" w:w="1080"/>
          </w:tcPr>
          <w:p>
            <w:r>
              <w:rPr>
                <w:rFonts w:ascii="Calibri" w:hAnsi="Calibri"/>
                <w:sz w:val="22"/>
              </w:rPr>
              <w:t>$8,669M</w:t>
            </w:r>
          </w:p>
        </w:tc>
        <w:tc>
          <w:tcPr>
            <w:tcW w:type="dxa" w:w="1080"/>
          </w:tcPr>
          <w:p>
            <w:r>
              <w:rPr>
                <w:rFonts w:ascii="Calibri" w:hAnsi="Calibri"/>
                <w:sz w:val="22"/>
              </w:rPr>
              <w:t>$8,674M</w:t>
            </w:r>
          </w:p>
        </w:tc>
        <w:tc>
          <w:tcPr>
            <w:tcW w:type="dxa" w:w="1080"/>
          </w:tcPr>
          <w:p>
            <w:r>
              <w:rPr>
                <w:rFonts w:ascii="Calibri" w:hAnsi="Calibri"/>
                <w:sz w:val="22"/>
              </w:rPr>
              <w:t>+0.1%</w:t>
            </w:r>
          </w:p>
        </w:tc>
        <w:tc>
          <w:tcPr>
            <w:tcW w:type="dxa" w:w="1080"/>
          </w:tcPr>
          <w:p>
            <w:r>
              <w:rPr>
                <w:rFonts w:ascii="Calibri" w:hAnsi="Calibri"/>
                <w:sz w:val="22"/>
              </w:rPr>
              <w:t>3–5% organic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~5.4% organic FY; above top end of guidance range</w:t>
            </w:r>
          </w:p>
        </w:tc>
      </w:tr>
      <w:tr>
        <w:tc>
          <w:tcPr>
            <w:tcW w:type="dxa" w:w="1080"/>
          </w:tcPr>
          <w:p>
            <w:r>
              <w:rPr>
                <w:rFonts w:ascii="Calibri" w:hAnsi="Calibri"/>
                <w:sz w:val="22"/>
              </w:rPr>
              <w:t>EBITDA Margin (FY 2026)</w:t>
            </w:r>
          </w:p>
        </w:tc>
        <w:tc>
          <w:tcPr>
            <w:tcW w:type="dxa" w:w="1080"/>
          </w:tcPr>
          <w:p>
            <w:r>
              <w:rPr>
                <w:rFonts w:ascii="Calibri" w:hAnsi="Calibri"/>
                <w:sz w:val="22"/>
              </w:rPr>
              <w:t>~23.5%</w:t>
            </w:r>
          </w:p>
        </w:tc>
        <w:tc>
          <w:tcPr>
            <w:tcW w:type="dxa" w:w="1080"/>
          </w:tcPr>
          <w:p>
            <w:r>
              <w:rPr>
                <w:rFonts w:ascii="Calibri" w:hAnsi="Calibri"/>
                <w:sz w:val="22"/>
              </w:rPr>
              <w:t>~23.5%</w:t>
            </w:r>
          </w:p>
        </w:tc>
        <w:tc>
          <w:tcPr>
            <w:tcW w:type="dxa" w:w="1080"/>
          </w:tcPr>
          <w:p>
            <w:r>
              <w:rPr>
                <w:rFonts w:ascii="Calibri" w:hAnsi="Calibri"/>
                <w:sz w:val="22"/>
              </w:rPr>
              <w:t>~0%</w:t>
            </w:r>
          </w:p>
        </w:tc>
        <w:tc>
          <w:tcPr>
            <w:tcW w:type="dxa" w:w="1080"/>
          </w:tcPr>
          <w:p>
            <w:r>
              <w:rPr>
                <w:rFonts w:ascii="Calibri" w:hAnsi="Calibri"/>
                <w:sz w:val="22"/>
              </w:rPr>
              <w:t>No formal margin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~50 bps YoY expansion; CST H2 inflection is key to delivery</w:t>
            </w:r>
          </w:p>
        </w:tc>
      </w:tr>
    </w:tbl>
    <w:p>
      <w:r>
        <w:rPr>
          <w:rFonts w:ascii="Calibri" w:hAnsi="Calibri"/>
          <w:color w:val="525866"/>
          <w:sz w:val="22"/>
        </w:rPr>
        <w:t>Source: Visible Alpha Consensus and Actuals Data. Post-Q1 baseline uses April 30, 2026 as-of date (5 trading days after April 23 earnings). The near-zero estimate revision since Q1 earnings is notable: management's explicit top-end guidance signal and record bookings quarter have not yet translated into meaningful upward revisions, suggesting the Street is waiting for Q2 confirmation before moving numbers. This creates a potential positive surprise dynamic if Q2 results validate the bookings-to-revenue conversion story.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DOV has underperformed XLI by ~6–7 percentage points since the Q1 earnings print, with the gap driven almost entirely by multiple compression rather than estimate cuts — a setup that favors a re-rating on a clean Q2 beat.</w:t>
      </w:r>
    </w:p>
    <w:p>
      <w:r>
        <w:rPr>
          <w:rFonts w:ascii="Calibri" w:hAnsi="Calibri"/>
          <w:b/>
          <w:color w:val="525866"/>
          <w:sz w:val="22"/>
        </w:rPr>
        <w:t>Chart: DOV vs. XLI vs. S&amp;P 500 — Indexed to 100 at April 23,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DOV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23,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 2026</w:t>
            </w:r>
          </w:p>
        </w:tc>
        <w:tc>
          <w:tcPr>
            <w:tcW w:type="dxa" w:w="2160"/>
          </w:tcPr>
          <w:p>
            <w:r>
              <w:rPr>
                <w:rFonts w:ascii="Calibri" w:hAnsi="Calibri"/>
                <w:sz w:val="22"/>
              </w:rPr>
              <w:t>99.0</w:t>
            </w:r>
          </w:p>
        </w:tc>
        <w:tc>
          <w:tcPr>
            <w:tcW w:type="dxa" w:w="2160"/>
          </w:tcPr>
          <w:p>
            <w:r>
              <w:rPr>
                <w:rFonts w:ascii="Calibri" w:hAnsi="Calibri"/>
                <w:sz w:val="22"/>
              </w:rPr>
              <w:t>99.4</w:t>
            </w:r>
          </w:p>
        </w:tc>
        <w:tc>
          <w:tcPr>
            <w:tcW w:type="dxa" w:w="2160"/>
          </w:tcPr>
          <w:p>
            <w:r>
              <w:rPr>
                <w:rFonts w:ascii="Calibri" w:hAnsi="Calibri"/>
                <w:sz w:val="22"/>
              </w:rPr>
              <w:t>101.4</w:t>
            </w:r>
          </w:p>
        </w:tc>
      </w:tr>
      <w:tr>
        <w:tc>
          <w:tcPr>
            <w:tcW w:type="dxa" w:w="2160"/>
          </w:tcPr>
          <w:p>
            <w:r>
              <w:rPr>
                <w:rFonts w:ascii="Calibri" w:hAnsi="Calibri"/>
                <w:sz w:val="22"/>
              </w:rPr>
              <w:t>Jun 1, 2026</w:t>
            </w:r>
          </w:p>
        </w:tc>
        <w:tc>
          <w:tcPr>
            <w:tcW w:type="dxa" w:w="2160"/>
          </w:tcPr>
          <w:p>
            <w:r>
              <w:rPr>
                <w:rFonts w:ascii="Calibri" w:hAnsi="Calibri"/>
                <w:sz w:val="22"/>
              </w:rPr>
              <w:t>90.9</w:t>
            </w:r>
          </w:p>
        </w:tc>
        <w:tc>
          <w:tcPr>
            <w:tcW w:type="dxa" w:w="2160"/>
          </w:tcPr>
          <w:p>
            <w:r>
              <w:rPr>
                <w:rFonts w:ascii="Calibri" w:hAnsi="Calibri"/>
                <w:sz w:val="22"/>
              </w:rPr>
              <w:t>99.0</w:t>
            </w:r>
          </w:p>
        </w:tc>
        <w:tc>
          <w:tcPr>
            <w:tcW w:type="dxa" w:w="2160"/>
          </w:tcPr>
          <w:p>
            <w:r>
              <w:rPr>
                <w:rFonts w:ascii="Calibri" w:hAnsi="Calibri"/>
                <w:sz w:val="22"/>
              </w:rPr>
              <w:t>107.1</w:t>
            </w:r>
          </w:p>
        </w:tc>
      </w:tr>
      <w:tr>
        <w:tc>
          <w:tcPr>
            <w:tcW w:type="dxa" w:w="2160"/>
          </w:tcPr>
          <w:p>
            <w:r>
              <w:rPr>
                <w:rFonts w:ascii="Calibri" w:hAnsi="Calibri"/>
                <w:sz w:val="22"/>
              </w:rPr>
              <w:t>Jun 30, 2026</w:t>
            </w:r>
          </w:p>
        </w:tc>
        <w:tc>
          <w:tcPr>
            <w:tcW w:type="dxa" w:w="2160"/>
          </w:tcPr>
          <w:p>
            <w:r>
              <w:rPr>
                <w:rFonts w:ascii="Calibri" w:hAnsi="Calibri"/>
                <w:sz w:val="22"/>
              </w:rPr>
              <w:t>98.3</w:t>
            </w:r>
          </w:p>
        </w:tc>
        <w:tc>
          <w:tcPr>
            <w:tcW w:type="dxa" w:w="2160"/>
          </w:tcPr>
          <w:p>
            <w:r>
              <w:rPr>
                <w:rFonts w:ascii="Calibri" w:hAnsi="Calibri"/>
                <w:sz w:val="22"/>
              </w:rPr>
              <w:t>106.4</w:t>
            </w:r>
          </w:p>
        </w:tc>
        <w:tc>
          <w:tcPr>
            <w:tcW w:type="dxa" w:w="2160"/>
          </w:tcPr>
          <w:p>
            <w:r>
              <w:rPr>
                <w:rFonts w:ascii="Calibri" w:hAnsi="Calibri"/>
                <w:sz w:val="22"/>
              </w:rPr>
              <w:t>105.4</w:t>
            </w:r>
          </w:p>
        </w:tc>
      </w:tr>
      <w:tr>
        <w:tc>
          <w:tcPr>
            <w:tcW w:type="dxa" w:w="2160"/>
          </w:tcPr>
          <w:p>
            <w:r>
              <w:rPr>
                <w:rFonts w:ascii="Calibri" w:hAnsi="Calibri"/>
                <w:sz w:val="22"/>
              </w:rPr>
              <w:t>Jul 22, 2026 (Pre-Earnings)</w:t>
            </w:r>
          </w:p>
        </w:tc>
        <w:tc>
          <w:tcPr>
            <w:tcW w:type="dxa" w:w="2160"/>
          </w:tcPr>
          <w:p>
            <w:r>
              <w:rPr>
                <w:rFonts w:ascii="Calibri" w:hAnsi="Calibri"/>
                <w:sz w:val="22"/>
              </w:rPr>
              <w:t>92.7</w:t>
            </w:r>
          </w:p>
        </w:tc>
        <w:tc>
          <w:tcPr>
            <w:tcW w:type="dxa" w:w="2160"/>
          </w:tcPr>
          <w:p>
            <w:r>
              <w:rPr>
                <w:rFonts w:ascii="Calibri" w:hAnsi="Calibri"/>
                <w:sz w:val="22"/>
              </w:rPr>
              <w:t>102.6</w:t>
            </w:r>
          </w:p>
        </w:tc>
        <w:tc>
          <w:tcPr>
            <w:tcW w:type="dxa" w:w="2160"/>
          </w:tcPr>
          <w:p>
            <w:r>
              <w:rPr>
                <w:rFonts w:ascii="Calibri" w:hAnsi="Calibri"/>
                <w:sz w:val="22"/>
              </w:rPr>
              <w:t>105.5</w:t>
            </w:r>
          </w:p>
        </w:tc>
      </w:tr>
    </w:tbl>
    <w:p>
      <w:r>
        <w:rPr>
          <w:rFonts w:ascii="Calibri" w:hAnsi="Calibri"/>
          <w:color w:val="525866"/>
          <w:sz w:val="22"/>
        </w:rPr>
        <w:t>Note: Indexed to 100 at April 23, 2026 close (DOV: $228.15, XLI: $174.07, SPY: $708.45). As of July 22, 2026 pre-market: DOV ~$211.42 (−7.3% since Q1 earnings), XLI ~$178.66 (+2.6%), SPY ~$748.28 (+5.5%). DOV has underperformed XLI by approximately 9.9 percentage points and the S&amp;P 500 by approximately 12.8 percentage points since the Q1 print. Source: Yahoo Finance / Stock Price Data.</w:t>
      </w:r>
    </w:p>
    <w:p>
      <w:r>
        <w:rPr>
          <w:rFonts w:ascii="Calibri" w:hAnsi="Calibri"/>
          <w:b/>
          <w:color w:val="525866"/>
          <w:sz w:val="22"/>
        </w:rPr>
        <w:t xml:space="preserve">Performance Decomposition: </w:t>
      </w:r>
      <w:r>
        <w:rPr>
          <w:rFonts w:ascii="Calibri" w:hAnsi="Calibri"/>
          <w:color w:val="525866"/>
          <w:sz w:val="22"/>
        </w:rPr>
        <w:t>Over the past 3 months, DOV's ~2.6% price decline has been driven almost entirely by multiple compression (EV/EBITDA contracted ~7.0% from 15.28x to 14.22x) rather than estimate cuts (FY EPS consensus essentially flat). This multiple compression despite stable-to-rising estimates is the hallmark of a sentiment-driven selloff, not a fundamental deterioration — and historically resolves on a clean earnings beat. The 12-month picture is more constructive: DOV is up ~14.8% with EV/EBITDA essentially flat (−0.75%), meaning the 12-month gain was almost entirely earnings-driven.</w:t>
      </w:r>
    </w:p>
    <w:p>
      <w:r>
        <w:rPr>
          <w:rFonts w:ascii="Calibri" w:hAnsi="Calibri"/>
          <w:color w:val="525866"/>
          <w:sz w:val="22"/>
        </w:rPr>
        <w:t>Sector ETF: XLI (Industrial Select Sector SPDR Fund) is the appropriate benchmark for Dover given its diversified industrial machinery exposure. Key material events since Q1 earnings: (1) May 12, 2026 — Annual Meeting (shareholders rejected independent board chair proposal; no financial impact); (2) June 16, 2026 — Q2 earnings date announcement.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No company-specific negative developments since Q1 earnings — the most material news is the absence of bad news, with April bookings confirmed tracking fine and no customer cancellations or macro deterioration flagged. The broader industrial peer earnings season (3M, GE Aerospace, Wabtec) has been broadly positive, providing a constructive read-through backdrop.</w:t>
      </w:r>
    </w:p>
    <w:p>
      <w:pPr>
        <w:pStyle w:val="ListBullet"/>
        <w:ind w:left="360" w:hanging="360"/>
      </w:pPr>
      <w:r>
        <w:rPr>
          <w:rFonts w:ascii="Calibri" w:hAnsi="Calibri"/>
          <w:b/>
          <w:color w:val="525866"/>
          <w:sz w:val="22"/>
        </w:rPr>
        <w:t>July 23, 2026 — Q2 2026 Earnings Call (Upcoming):</w:t>
      </w:r>
      <w:r>
        <w:rPr>
          <w:rFonts w:ascii="Calibri" w:hAnsi="Calibri"/>
          <w:color w:val="525866"/>
          <w:sz w:val="22"/>
        </w:rPr>
        <w:t xml:space="preserve"> Dover reports Q2 2026 results pre-market with a 9:30 AM ET conference call. Management has signaled it will revisit top-line guidance if bookings trends have held through Q2. Implication: Upward guidance revision is the key catalyst to watch.</w:t>
      </w:r>
    </w:p>
    <w:p>
      <w:pPr>
        <w:pStyle w:val="ListBullet"/>
        <w:ind w:left="360" w:hanging="360"/>
      </w:pPr>
      <w:r>
        <w:rPr>
          <w:rFonts w:ascii="Calibri" w:hAnsi="Calibri"/>
          <w:b/>
          <w:color w:val="525866"/>
          <w:sz w:val="22"/>
        </w:rPr>
        <w:t>June 16, 2026 — Q2 Earnings Date Announcement:</w:t>
      </w:r>
      <w:r>
        <w:rPr>
          <w:rFonts w:ascii="Calibri" w:hAnsi="Calibri"/>
          <w:color w:val="525866"/>
          <w:sz w:val="22"/>
        </w:rPr>
        <w:t xml:space="preserve"> Dover filed a press release announcing the July 23 earnings date and webcast. No financial content; routine disclosure.</w:t>
      </w:r>
    </w:p>
    <w:p>
      <w:pPr>
        <w:pStyle w:val="ListBullet"/>
        <w:ind w:left="360" w:hanging="360"/>
      </w:pPr>
      <w:r>
        <w:rPr>
          <w:rFonts w:ascii="Calibri" w:hAnsi="Calibri"/>
          <w:b/>
          <w:color w:val="525866"/>
          <w:sz w:val="22"/>
        </w:rPr>
        <w:t>May 12, 2026 — Annual Meeting (8-K):</w:t>
      </w:r>
      <w:r>
        <w:rPr>
          <w:rFonts w:ascii="Calibri" w:hAnsi="Calibri"/>
          <w:color w:val="525866"/>
          <w:sz w:val="22"/>
        </w:rPr>
        <w:t xml:space="preserve"> Shareholders rejected an independent board chair proposal. No financial or operational implications; management/board structure unchanged.</w:t>
      </w:r>
    </w:p>
    <w:p>
      <w:pPr>
        <w:pStyle w:val="ListBullet"/>
        <w:ind w:left="360" w:hanging="360"/>
      </w:pPr>
      <w:r>
        <w:rPr>
          <w:rFonts w:ascii="Calibri" w:hAnsi="Calibri"/>
          <w:b/>
          <w:color w:val="525866"/>
          <w:sz w:val="22"/>
        </w:rPr>
        <w:t>July 21, 2026 — 3M (MMM) Q2 2026 Beat &amp; Guidance Raise (Peer Read-Through):</w:t>
      </w:r>
      <w:r>
        <w:rPr>
          <w:rFonts w:ascii="Calibri" w:hAnsi="Calibri"/>
          <w:color w:val="525866"/>
          <w:sz w:val="22"/>
        </w:rPr>
        <w:t xml:space="preserve"> 3M reported Q2 EPS of $2.40 vs. consensus $2.25, with 5.4% organic growth vs. Street estimate of 3.2%, and raised FY EPS guidance to $8.80–$8.95 from $8.50–$8.70. Strength in Safety &amp; Industrial and Transportation &amp; Electronics. Implication: Positive read-through for Dover's Engineered Products and Pumps &amp; Process Solutions segments; broad industrial demand holding up better than feared.</w:t>
      </w:r>
    </w:p>
    <w:p>
      <w:pPr>
        <w:pStyle w:val="ListBullet"/>
        <w:ind w:left="360" w:hanging="360"/>
      </w:pPr>
      <w:r>
        <w:rPr>
          <w:rFonts w:ascii="Calibri" w:hAnsi="Calibri"/>
          <w:b/>
          <w:color w:val="525866"/>
          <w:sz w:val="22"/>
        </w:rPr>
        <w:t>July 22, 2026 — Wabtec (WAB) Q2 2026 Beat &amp; Guidance Raise (Peer Read-Through):</w:t>
      </w:r>
      <w:r>
        <w:rPr>
          <w:rFonts w:ascii="Calibri" w:hAnsi="Calibri"/>
          <w:color w:val="525866"/>
          <w:sz w:val="22"/>
        </w:rPr>
        <w:t xml:space="preserve"> Wabtec reported Q2 EPS of $2.76 vs. consensus $2.61, with sales up 17.5% to $3.18B vs. Street estimate of $3.07B, and raised full-year guidance (revenue and EPS mid-points up ~$110M and $0.30, respectively). Implication: Strong industrial demand environment; positive for Dover's secular growth platforms.</w:t>
      </w:r>
    </w:p>
    <w:p>
      <w:pPr>
        <w:pStyle w:val="ListBullet"/>
        <w:ind w:left="360" w:hanging="360"/>
      </w:pPr>
      <w:r>
        <w:rPr>
          <w:rFonts w:ascii="Calibri" w:hAnsi="Calibri"/>
          <w:b/>
          <w:color w:val="525866"/>
          <w:sz w:val="22"/>
        </w:rPr>
        <w:t>July 16, 2026 — GE Aerospace (GE) Q2 2026 Beat &amp; Guidance Raise (Peer Read-Through):</w:t>
      </w:r>
      <w:r>
        <w:rPr>
          <w:rFonts w:ascii="Calibri" w:hAnsi="Calibri"/>
          <w:color w:val="525866"/>
          <w:sz w:val="22"/>
        </w:rPr>
        <w:t xml:space="preserve"> GE Aerospace reported Q2 EPS of $2.02 vs. consensus $1.86, with revenue up 24% on adjusted basis to $12.6B vs. Street estimate of $11.8B. Bookings jumped 17% to $16.5B. Raised FY EPS guidance to $7.75 from $7.25. Implication: Strong aerospace and defense demand is a direct positive read-through for Dover's Engineered Products segment (electronic warfare, signal intelligence).</w:t>
      </w:r>
    </w:p>
    <w:p>
      <w:pPr>
        <w:pStyle w:val="ListBullet"/>
        <w:ind w:left="360" w:hanging="360"/>
      </w:pPr>
      <w:r>
        <w:rPr>
          <w:rFonts w:ascii="Calibri" w:hAnsi="Calibri"/>
          <w:b/>
          <w:color w:val="525866"/>
          <w:sz w:val="22"/>
        </w:rPr>
        <w:t>July 15, 2026 — Pentair (PNR) Negative Pre-Announcement (Sector Caution):</w:t>
      </w:r>
      <w:r>
        <w:rPr>
          <w:rFonts w:ascii="Calibri" w:hAnsi="Calibri"/>
          <w:color w:val="525866"/>
          <w:sz w:val="22"/>
        </w:rPr>
        <w:t xml:space="preserve"> Pentair cut full-year guidance, with Q2 sales down 17% YoY vs. Street estimate of +1%, driven by elevated pool industry inventories. CFO resigned. Implication: Limited direct read-through to Dover (no pool exposure), but highlights that inventory destocking can surprise negatively in niche industrial end-markets. Dover's refrigeration recovery thesis should be monitored for similar dynamics.</w:t>
      </w:r>
    </w:p>
    <w:p>
      <w:pPr>
        <w:pStyle w:val="ListBullet"/>
        <w:ind w:left="360" w:hanging="360"/>
      </w:pPr>
      <w:r>
        <w:rPr>
          <w:rFonts w:ascii="Calibri" w:hAnsi="Calibri"/>
          <w:b/>
          <w:color w:val="525866"/>
          <w:sz w:val="22"/>
        </w:rPr>
        <w:t>July 14–15, 2026 — Fastenal (FAST) Q2 Gross Margin Pressure (Sector Caution):</w:t>
      </w:r>
      <w:r>
        <w:rPr>
          <w:rFonts w:ascii="Calibri" w:hAnsi="Calibri"/>
          <w:color w:val="525866"/>
          <w:sz w:val="22"/>
        </w:rPr>
        <w:t xml:space="preserve"> Fastenal experienced weakness following its Q2 earnings report, driven by gross margin pressure. Implication: Modest caution signal for industrial distribution pricing power, though Dover's direct manufacturing model is less exposed to distribution margin dynamics.</w:t>
      </w:r>
    </w:p>
    <w:p>
      <w:pPr>
        <w:pStyle w:val="ListBullet"/>
        <w:ind w:left="360" w:hanging="360"/>
      </w:pPr>
      <w:r>
        <w:rPr>
          <w:rFonts w:ascii="Calibri" w:hAnsi="Calibri"/>
          <w:b/>
          <w:color w:val="525866"/>
          <w:sz w:val="22"/>
        </w:rPr>
        <w:t>July 20, 2026 — Canada Tariff Escalation (Macro Risk):</w:t>
      </w:r>
      <w:r>
        <w:rPr>
          <w:rFonts w:ascii="Calibri" w:hAnsi="Calibri"/>
          <w:color w:val="525866"/>
          <w:sz w:val="22"/>
        </w:rPr>
        <w:t xml:space="preserve"> President Trump announced 50% tariffs on most Canadian goods effective in 30 days. Implication: Dover's build-in-region manufacturing model provides insulation, but any escalation in North American trade tensions could create customer hesitation similar to the 2025 tariff disruption management described as "losing basically February to September."</w:t>
      </w:r>
    </w:p>
    <w:p>
      <w:pPr>
        <w:pStyle w:val="ListBullet"/>
        <w:ind w:left="360" w:hanging="360"/>
      </w:pPr>
      <w:r>
        <w:rPr>
          <w:rFonts w:ascii="Calibri" w:hAnsi="Calibri"/>
          <w:b/>
          <w:color w:val="525866"/>
          <w:sz w:val="22"/>
        </w:rPr>
        <w:t>Ongoing — AI/Data Center Demand Acceleration (Secular Tailwind):</w:t>
      </w:r>
      <w:r>
        <w:rPr>
          <w:rFonts w:ascii="Calibri" w:hAnsi="Calibri"/>
          <w:color w:val="525866"/>
          <w:sz w:val="22"/>
        </w:rPr>
        <w:t xml:space="preserve"> Multiple industrial peers (GE Aerospace, Rockwell Automation, Ingersoll Rand) have cited accelerating data center and AI infrastructure demand. Dover expects to generate over $1 billion in revenue from AI and power generation infrastructure applications in 2026. Implication: Validates the secular growth thesis underpinning Dover's brazed plate heat exchanger and CO2 refrigeration platforms.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codes P or S) or 10b5-1 plan initiations were identified for Dover Corporation (DOV) in the period from April 23, 2026 through July 22, 2026. The absence of insider selling is a mild positive signal — no insiders appear to be distributing shares ahead of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identified for DOV in the post-Q1 earnings window (Apr 23 – Jul 22, 2026). Source: SEC Form 4 Filings Database.</w:t>
            </w:r>
          </w:p>
        </w:tc>
      </w:tr>
    </w:tbl>
    <w:p>
      <w:r>
        <w:br w:type="page"/>
      </w:r>
    </w:p>
    <w:p>
      <w:pPr>
        <w:pStyle w:val="Heading2"/>
      </w:pPr>
      <w:r>
        <w:rPr>
          <w:rFonts w:ascii="Calibri" w:hAnsi="Calibri"/>
          <w:b/>
          <w:color w:val="3B4259"/>
          <w:sz w:val="28"/>
        </w:rPr>
        <w:t>8. Peer Commentary — Current-Quarter Read-Throughs (Last 60 Days)</w:t>
      </w:r>
    </w:p>
    <w:p>
      <w:r>
        <w:rPr>
          <w:rFonts w:ascii="Calibri" w:hAnsi="Calibri"/>
          <w:b/>
          <w:color w:val="525866"/>
          <w:sz w:val="22"/>
        </w:rPr>
        <w:t xml:space="preserve">Scope: </w:t>
      </w:r>
      <w:r>
        <w:rPr>
          <w:rFonts w:ascii="Calibri" w:hAnsi="Calibri"/>
          <w:color w:val="525866"/>
          <w:sz w:val="22"/>
        </w:rPr>
        <w:t>This section includes only peer commentary made between May 23 and July 22, 2026 that addresses the April–June 2026 (Q2 2026) reporting period or forward outlook relevant to it. Commentary about prior-quarter (Q1 2026) results is excluded. Peers sourced from the Specialty Industrial Machinery peer group (ETN, PH, CMI, ITW, EMR, AME, ROK, IR, XYL, ITT, IEX, NDSN, RRX, CR, GNRC) plus adjacent industrials with direct end-market overlap.</w:t>
      </w:r>
    </w:p>
    <w:p>
      <w:pPr>
        <w:pStyle w:val="Heading3"/>
      </w:pPr>
      <w:r>
        <w:rPr>
          <w:rFonts w:ascii="Calibri" w:hAnsi="Calibri"/>
          <w:b/>
          <w:color w:val="3B4259"/>
          <w:sz w:val="24"/>
        </w:rPr>
        <w:t>3M (MMM) — Q2 2026 Earnings (July 21, 2026)</w:t>
      </w:r>
    </w:p>
    <w:p>
      <w:r>
        <w:rPr>
          <w:rFonts w:ascii="Calibri" w:hAnsi="Calibri"/>
          <w:b/>
          <w:color w:val="525866"/>
          <w:sz w:val="22"/>
        </w:rPr>
        <w:t xml:space="preserve">Relevance to DOV: </w:t>
      </w:r>
      <w:r>
        <w:rPr>
          <w:rFonts w:ascii="Calibri" w:hAnsi="Calibri"/>
          <w:color w:val="525866"/>
          <w:sz w:val="22"/>
        </w:rPr>
        <w:t>High. 3M's Safety &amp; Industrial and Transportation &amp; Electronics segments overlap with Dover's Engineered Products and Pumps &amp; Process Solutions end-markets.</w:t>
      </w:r>
    </w:p>
    <w:p>
      <w:pPr>
        <w:pStyle w:val="ListBullet"/>
        <w:ind w:left="360" w:hanging="360"/>
      </w:pPr>
      <w:r>
        <w:rPr>
          <w:rFonts w:ascii="Calibri" w:hAnsi="Calibri"/>
          <w:b/>
          <w:color w:val="525866"/>
          <w:sz w:val="22"/>
        </w:rPr>
        <w:t xml:space="preserve">Beat &amp; Raise: </w:t>
      </w:r>
      <w:r>
        <w:rPr>
          <w:rFonts w:ascii="Calibri" w:hAnsi="Calibri"/>
          <w:color w:val="525866"/>
          <w:sz w:val="22"/>
        </w:rPr>
        <w:t>3M reported Q2 EPS of $2.40 vs. consensus $2.25 (+6.7% beat), driven by 5.4% organic sales growth vs. Street estimate of 3.2%. Operating margins came in at 24.9%, approximately 15 bps above expectations. The company raised full-year EPS guidance to $8.80–$8.95 from $8.50–$8.70.</w:t>
      </w:r>
    </w:p>
    <w:p>
      <w:pPr>
        <w:pStyle w:val="ListBullet"/>
        <w:ind w:left="360" w:hanging="360"/>
      </w:pPr>
      <w:r>
        <w:rPr>
          <w:rFonts w:ascii="Calibri" w:hAnsi="Calibri"/>
          <w:b/>
          <w:color w:val="525866"/>
          <w:sz w:val="22"/>
        </w:rPr>
        <w:t xml:space="preserve">Demand Commentary: </w:t>
      </w:r>
      <w:r>
        <w:rPr>
          <w:rFonts w:ascii="Calibri" w:hAnsi="Calibri"/>
          <w:color w:val="525866"/>
          <w:sz w:val="22"/>
        </w:rPr>
        <w:t>Strength concentrated in Safety &amp; Industrial and Transportation &amp; Electronics, with Consumer segment softer. CEO Bill Brown highlighted that cost cuts, price hikes, and new product introductions are cushioning margins from weak demand in certain pockets.</w:t>
      </w:r>
    </w:p>
    <w:p>
      <w:pPr>
        <w:pStyle w:val="ListBullet"/>
        <w:ind w:left="360" w:hanging="360"/>
      </w:pPr>
      <w:r>
        <w:rPr>
          <w:rFonts w:ascii="Calibri" w:hAnsi="Calibri"/>
          <w:b/>
          <w:color w:val="525866"/>
          <w:sz w:val="22"/>
        </w:rPr>
        <w:t xml:space="preserve">AI/Data Center Exposure: </w:t>
      </w:r>
      <w:r>
        <w:rPr>
          <w:rFonts w:ascii="Calibri" w:hAnsi="Calibri"/>
          <w:color w:val="525866"/>
          <w:sz w:val="22"/>
        </w:rPr>
        <w:t>3M's expanded beam optical connectivity technology (cutting fiber installation time by up to 85%) is certified for Microsoft Azure data centers. Brown expects the technology to generate $40–$50M in revenue in 2026, potentially reaching 5x that over several years. Total addressable market estimated at ~$1B in 2026, expanding to ~$2B by 2028.</w:t>
      </w:r>
    </w:p>
    <w:p>
      <w:pPr>
        <w:pStyle w:val="ListBullet"/>
        <w:ind w:left="360" w:hanging="360"/>
      </w:pPr>
      <w:r>
        <w:rPr>
          <w:rFonts w:ascii="Calibri" w:hAnsi="Calibri"/>
          <w:b/>
          <w:color w:val="525866"/>
          <w:sz w:val="22"/>
        </w:rPr>
        <w:t xml:space="preserve">DOV Read-Through: </w:t>
      </w:r>
      <w:r>
        <w:rPr>
          <w:rFonts w:ascii="Calibri" w:hAnsi="Calibri"/>
          <w:color w:val="525866"/>
          <w:sz w:val="22"/>
        </w:rPr>
        <w:t>Positive. Broad industrial demand holding up better than feared, with pricing power intact. The AI/data center infrastructure buildout is accelerating across the industrial supply chain — directly supportive of Dover's brazed plate heat exchanger and CO2 refrigeration platforms serving liquid cooling applications. 3M's ability to raise guidance despite macro uncertainty is a constructive signal for Dover's own guidance revision potential.</w:t>
      </w:r>
    </w:p>
    <w:p>
      <w:pPr>
        <w:pStyle w:val="Heading3"/>
      </w:pPr>
      <w:r>
        <w:rPr>
          <w:rFonts w:ascii="Calibri" w:hAnsi="Calibri"/>
          <w:b/>
          <w:color w:val="3B4259"/>
          <w:sz w:val="24"/>
        </w:rPr>
        <w:t>Wabtec (WAB) — Q2 2026 Earnings (July 22, 2026)</w:t>
      </w:r>
    </w:p>
    <w:p>
      <w:r>
        <w:rPr>
          <w:rFonts w:ascii="Calibri" w:hAnsi="Calibri"/>
          <w:b/>
          <w:color w:val="525866"/>
          <w:sz w:val="22"/>
        </w:rPr>
        <w:t xml:space="preserve">Relevance to DOV: </w:t>
      </w:r>
      <w:r>
        <w:rPr>
          <w:rFonts w:ascii="Calibri" w:hAnsi="Calibri"/>
          <w:color w:val="525866"/>
          <w:sz w:val="22"/>
        </w:rPr>
        <w:t>Moderate. Wabtec's freight and transit equipment businesses share end-market overlap with Dover's Engineered Products (industrial components) and Clean Energy &amp; Fueling (natural gas infrastructure) segments.</w:t>
      </w:r>
    </w:p>
    <w:p>
      <w:pPr>
        <w:pStyle w:val="ListBullet"/>
        <w:ind w:left="360" w:hanging="360"/>
      </w:pPr>
      <w:r>
        <w:rPr>
          <w:rFonts w:ascii="Calibri" w:hAnsi="Calibri"/>
          <w:b/>
          <w:color w:val="525866"/>
          <w:sz w:val="22"/>
        </w:rPr>
        <w:t xml:space="preserve">Beat &amp; Raise: </w:t>
      </w:r>
      <w:r>
        <w:rPr>
          <w:rFonts w:ascii="Calibri" w:hAnsi="Calibri"/>
          <w:color w:val="525866"/>
          <w:sz w:val="22"/>
        </w:rPr>
        <w:t>Wabtec reported Q2 EPS of $2.76 vs. consensus $2.61 (+5.7% beat), with sales up 17.5% to $3.18B vs. Street estimate of $3.07B. Operating margins expanded 80 bps to 21.9% vs. Street estimate of 21.75%. The company raised full-year guidance, increasing revenue and EPS mid-points by approximately $110M and $0.30, respectively.</w:t>
      </w:r>
    </w:p>
    <w:p>
      <w:pPr>
        <w:pStyle w:val="ListBullet"/>
        <w:ind w:left="360" w:hanging="360"/>
      </w:pPr>
      <w:r>
        <w:rPr>
          <w:rFonts w:ascii="Calibri" w:hAnsi="Calibri"/>
          <w:b/>
          <w:color w:val="525866"/>
          <w:sz w:val="22"/>
        </w:rPr>
        <w:t xml:space="preserve">Demand Commentary: </w:t>
      </w:r>
      <w:r>
        <w:rPr>
          <w:rFonts w:ascii="Calibri" w:hAnsi="Calibri"/>
          <w:color w:val="525866"/>
          <w:sz w:val="22"/>
        </w:rPr>
        <w:t>Management stated that growth accelerated in the quarter, with customers remaining optimistic about large projects while the company maintained strong cost discipline. The 12-month backlog declined sequentially to $9.14B from $9.247B in Q1, a modest sequential softening to monitor.</w:t>
      </w:r>
    </w:p>
    <w:p>
      <w:pPr>
        <w:pStyle w:val="ListBullet"/>
        <w:ind w:left="360" w:hanging="360"/>
      </w:pPr>
      <w:r>
        <w:rPr>
          <w:rFonts w:ascii="Calibri" w:hAnsi="Calibri"/>
          <w:b/>
          <w:color w:val="525866"/>
          <w:sz w:val="22"/>
        </w:rPr>
        <w:t xml:space="preserve">DOV Read-Through: </w:t>
      </w:r>
      <w:r>
        <w:rPr>
          <w:rFonts w:ascii="Calibri" w:hAnsi="Calibri"/>
          <w:color w:val="525866"/>
          <w:sz w:val="22"/>
        </w:rPr>
        <w:t>Positive. Strong industrial demand with pricing power and margin expansion is the dominant theme. The guidance raise from a diversified industrial peer one day before Dover's print is a constructive setup signal. The sequential backlog decline is a minor caution but not a trend reversal.</w:t>
      </w:r>
    </w:p>
    <w:p>
      <w:pPr>
        <w:pStyle w:val="Heading3"/>
      </w:pPr>
      <w:r>
        <w:rPr>
          <w:rFonts w:ascii="Calibri" w:hAnsi="Calibri"/>
          <w:b/>
          <w:color w:val="3B4259"/>
          <w:sz w:val="24"/>
        </w:rPr>
        <w:t>GE Aerospace (GE) — Q2 2026 Earnings (July 16, 2026)</w:t>
      </w:r>
    </w:p>
    <w:p>
      <w:r>
        <w:rPr>
          <w:rFonts w:ascii="Calibri" w:hAnsi="Calibri"/>
          <w:b/>
          <w:color w:val="525866"/>
          <w:sz w:val="22"/>
        </w:rPr>
        <w:t xml:space="preserve">Relevance to DOV: </w:t>
      </w:r>
      <w:r>
        <w:rPr>
          <w:rFonts w:ascii="Calibri" w:hAnsi="Calibri"/>
          <w:color w:val="525866"/>
          <w:sz w:val="22"/>
        </w:rPr>
        <w:t>High for Engineered Products. GE Aerospace's commentary on aerospace demand, supply chain, and defense spending directly reads through to Dover's aerospace and defense sub-segment (electronic warfare, signal intelligence).</w:t>
      </w:r>
    </w:p>
    <w:p>
      <w:pPr>
        <w:pStyle w:val="ListBullet"/>
        <w:ind w:left="360" w:hanging="360"/>
      </w:pPr>
      <w:r>
        <w:rPr>
          <w:rFonts w:ascii="Calibri" w:hAnsi="Calibri"/>
          <w:b/>
          <w:color w:val="525866"/>
          <w:sz w:val="22"/>
        </w:rPr>
        <w:t xml:space="preserve">Beat &amp; Raise: </w:t>
      </w:r>
      <w:r>
        <w:rPr>
          <w:rFonts w:ascii="Calibri" w:hAnsi="Calibri"/>
          <w:color w:val="525866"/>
          <w:sz w:val="22"/>
        </w:rPr>
        <w:t>GE Aerospace reported Q2 EPS of $2.02 vs. consensus $1.86 (+8.6% beat), with revenue up 24% on adjusted basis to $12.6B vs. Street estimate of $11.8B. Bookings jumped 17% to $16.5B. Free cash flow reached ~$3B, up 43% YoY and ~$1B above plan. Raised FY EPS guidance to $7.75 from $7.25.</w:t>
      </w:r>
    </w:p>
    <w:p>
      <w:pPr>
        <w:pStyle w:val="ListBullet"/>
        <w:ind w:left="360" w:hanging="360"/>
      </w:pPr>
      <w:r>
        <w:rPr>
          <w:rFonts w:ascii="Calibri" w:hAnsi="Calibri"/>
          <w:b/>
          <w:color w:val="525866"/>
          <w:sz w:val="22"/>
        </w:rPr>
        <w:t xml:space="preserve">Demand Commentary: </w:t>
      </w:r>
      <w:r>
        <w:rPr>
          <w:rFonts w:ascii="Calibri" w:hAnsi="Calibri"/>
          <w:color w:val="525866"/>
          <w:sz w:val="22"/>
        </w:rPr>
        <w:t>CEO Larry Culp stated the company is "sold out into the early 2030s" on a multiyear ramp for both commercial and defense customers. Improved supplier deliveries are helping boost output. The company secured an order for over 1,000 engines with Indigo Airlines in India as part of a multiyear commitment.</w:t>
      </w:r>
    </w:p>
    <w:p>
      <w:pPr>
        <w:pStyle w:val="ListBullet"/>
        <w:ind w:left="360" w:hanging="360"/>
      </w:pPr>
      <w:r>
        <w:rPr>
          <w:rFonts w:ascii="Calibri" w:hAnsi="Calibri"/>
          <w:b/>
          <w:color w:val="525866"/>
          <w:sz w:val="22"/>
        </w:rPr>
        <w:t xml:space="preserve">Supply Chain Commentary: </w:t>
      </w:r>
      <w:r>
        <w:rPr>
          <w:rFonts w:ascii="Calibri" w:hAnsi="Calibri"/>
          <w:color w:val="525866"/>
          <w:sz w:val="22"/>
        </w:rPr>
        <w:t>Culp noted that improved supplier deliveries are helping boost output — a positive signal that aerospace supply chain constraints are easing, which could benefit Dover's aerospace and defense components business.</w:t>
      </w:r>
    </w:p>
    <w:p>
      <w:pPr>
        <w:pStyle w:val="ListBullet"/>
        <w:ind w:left="360" w:hanging="360"/>
      </w:pPr>
      <w:r>
        <w:rPr>
          <w:rFonts w:ascii="Calibri" w:hAnsi="Calibri"/>
          <w:b/>
          <w:color w:val="525866"/>
          <w:sz w:val="22"/>
        </w:rPr>
        <w:t xml:space="preserve">DOV Read-Through: </w:t>
      </w:r>
      <w:r>
        <w:rPr>
          <w:rFonts w:ascii="Calibri" w:hAnsi="Calibri"/>
          <w:color w:val="525866"/>
          <w:sz w:val="22"/>
        </w:rPr>
        <w:t>Positive. Surging aerospace and defense demand with improving supply chain conditions is a direct tailwind for Dover's Engineered Products segment, which management has cited as a key driver of low single-digit organic growth for FY 2026. The GE beat-and-raise pattern, combined with strong bookings, validates Dover's own record bookings narrative in this end-market.</w:t>
      </w:r>
    </w:p>
    <w:p>
      <w:pPr>
        <w:pStyle w:val="Heading3"/>
      </w:pPr>
      <w:r>
        <w:rPr>
          <w:rFonts w:ascii="Calibri" w:hAnsi="Calibri"/>
          <w:b/>
          <w:color w:val="3B4259"/>
          <w:sz w:val="24"/>
        </w:rPr>
        <w:t>Rockwell Automation (ROK) — Wells Fargo Industrials &amp; Materials Conference (June 11, 2026)</w:t>
      </w:r>
    </w:p>
    <w:p>
      <w:r>
        <w:rPr>
          <w:rFonts w:ascii="Calibri" w:hAnsi="Calibri"/>
          <w:b/>
          <w:color w:val="525866"/>
          <w:sz w:val="22"/>
        </w:rPr>
        <w:t xml:space="preserve">Relevance to DOV: </w:t>
      </w:r>
      <w:r>
        <w:rPr>
          <w:rFonts w:ascii="Calibri" w:hAnsi="Calibri"/>
          <w:color w:val="525866"/>
          <w:sz w:val="22"/>
        </w:rPr>
        <w:t>Moderate-High. Rockwell's commentary on industrial automation demand, data center/semiconductor end-markets, and tariff/pricing dynamics reads through to Dover's Pumps &amp; Process Solutions and Engineered Products segments.</w:t>
      </w:r>
    </w:p>
    <w:p>
      <w:pPr>
        <w:pStyle w:val="ListBullet"/>
        <w:ind w:left="360" w:hanging="360"/>
      </w:pPr>
      <w:r>
        <w:rPr>
          <w:rFonts w:ascii="Calibri" w:hAnsi="Calibri"/>
          <w:b/>
          <w:color w:val="525866"/>
          <w:sz w:val="22"/>
        </w:rPr>
        <w:t xml:space="preserve">Demand Outlook (Q2–Q4 FY2026, i.e., Apr–Sep 2026 calendar): </w:t>
      </w:r>
      <w:r>
        <w:rPr>
          <w:rFonts w:ascii="Calibri" w:hAnsi="Calibri"/>
          <w:color w:val="525866"/>
          <w:sz w:val="22"/>
        </w:rPr>
        <w:t>Rockwell raised its full-year organic growth guide to 7%. Management cited "broadening of demand and larger projects" in semiconductor, data center, e-commerce/warehouse automation, and energy. Data center is currently a "low single digit percent of revenue" but could reach "around 5%" in the near future.</w:t>
      </w:r>
    </w:p>
    <w:p>
      <w:pPr>
        <w:pStyle w:val="ListBullet"/>
        <w:ind w:left="360" w:hanging="360"/>
      </w:pPr>
      <w:r>
        <w:rPr>
          <w:rFonts w:ascii="Calibri" w:hAnsi="Calibri"/>
          <w:b/>
          <w:color w:val="525866"/>
          <w:sz w:val="22"/>
        </w:rPr>
        <w:t xml:space="preserve">Tariff/Pricing Commentary: </w:t>
      </w:r>
      <w:r>
        <w:rPr>
          <w:rFonts w:ascii="Calibri" w:hAnsi="Calibri"/>
          <w:color w:val="525866"/>
          <w:sz w:val="22"/>
        </w:rPr>
        <w:t>Rockwell is guiding to 250 bps of price for FY2026, of which 100 bps is tariff-related and 150 bps is underlying price. Management noted "double digit millions of headwind" in H2 from memory chip cost inflation, but expects to offset with price over time. The company confirmed no pre-buying activity in its channel inventory checks.</w:t>
      </w:r>
    </w:p>
    <w:p>
      <w:pPr>
        <w:pStyle w:val="ListBullet"/>
        <w:ind w:left="360" w:hanging="360"/>
      </w:pPr>
      <w:r>
        <w:rPr>
          <w:rFonts w:ascii="Calibri" w:hAnsi="Calibri"/>
          <w:b/>
          <w:color w:val="525866"/>
          <w:sz w:val="22"/>
        </w:rPr>
        <w:t xml:space="preserve">Project Mix Dynamics: </w:t>
      </w:r>
      <w:r>
        <w:rPr>
          <w:rFonts w:ascii="Calibri" w:hAnsi="Calibri"/>
          <w:color w:val="525866"/>
          <w:sz w:val="22"/>
        </w:rPr>
        <w:t>Customers are executing smaller modernization projects with clear ROI while holding off on larger CapEx decisions due to "trade uncertainty" and "geopolitical volatility." This dynamic is consistent with Dover's own commentary about customers booking further out than normal due to supply constraints rather than pre-buying.</w:t>
      </w:r>
    </w:p>
    <w:p>
      <w:pPr>
        <w:pStyle w:val="ListBullet"/>
        <w:ind w:left="360" w:hanging="360"/>
      </w:pPr>
      <w:r>
        <w:rPr>
          <w:rFonts w:ascii="Calibri" w:hAnsi="Calibri"/>
          <w:b/>
          <w:color w:val="525866"/>
          <w:sz w:val="22"/>
        </w:rPr>
        <w:t xml:space="preserve">DOV Read-Through: </w:t>
      </w:r>
      <w:r>
        <w:rPr>
          <w:rFonts w:ascii="Calibri" w:hAnsi="Calibri"/>
          <w:color w:val="525866"/>
          <w:sz w:val="22"/>
        </w:rPr>
        <w:t>Constructive. The broadening of industrial automation demand across data center, semiconductor, and energy end-markets is a positive read-through for Dover's secular growth platforms. The confirmation of no pre-buying activity in the channel is important — it validates Dover management's Q1 assertion that the record bookings quarter reflects genuine demand-supply constraints rather than pull-forward activity.</w:t>
      </w:r>
    </w:p>
    <w:p>
      <w:pPr>
        <w:pStyle w:val="Heading3"/>
      </w:pPr>
      <w:r>
        <w:rPr>
          <w:rFonts w:ascii="Calibri" w:hAnsi="Calibri"/>
          <w:b/>
          <w:color w:val="3B4259"/>
          <w:sz w:val="24"/>
        </w:rPr>
        <w:t>Ingersoll Rand (IR) — Wells Fargo Industrials &amp; Materials Conference (June 10, 2026)</w:t>
      </w:r>
    </w:p>
    <w:p>
      <w:r>
        <w:rPr>
          <w:rFonts w:ascii="Calibri" w:hAnsi="Calibri"/>
          <w:b/>
          <w:color w:val="525866"/>
          <w:sz w:val="22"/>
        </w:rPr>
        <w:t xml:space="preserve">Relevance to DOV: </w:t>
      </w:r>
      <w:r>
        <w:rPr>
          <w:rFonts w:ascii="Calibri" w:hAnsi="Calibri"/>
          <w:color w:val="525866"/>
          <w:sz w:val="22"/>
        </w:rPr>
        <w:t>High. Ingersoll Rand's commentary on short-cycle industrial demand, biopharma/life sciences, pricing, and margin trajectory reads directly through to Dover's Pumps &amp; Process Solutions segment (biopharma, precision measurement) and Clean Energy &amp; Fueling.</w:t>
      </w:r>
    </w:p>
    <w:p>
      <w:pPr>
        <w:pStyle w:val="ListBullet"/>
        <w:ind w:left="360" w:hanging="360"/>
      </w:pPr>
      <w:r>
        <w:rPr>
          <w:rFonts w:ascii="Calibri" w:hAnsi="Calibri"/>
          <w:b/>
          <w:color w:val="525866"/>
          <w:sz w:val="22"/>
        </w:rPr>
        <w:t xml:space="preserve">Demand Outlook (Q2 2026 and Beyond): </w:t>
      </w:r>
      <w:r>
        <w:rPr>
          <w:rFonts w:ascii="Calibri" w:hAnsi="Calibri"/>
          <w:color w:val="525866"/>
          <w:sz w:val="22"/>
        </w:rPr>
        <w:t>IR management stated that short-cycle demand trends are "getting better" and the overall backdrop is "setting up for a better backdrop on a go-forward basis." Long-cycle funnels remain "relatively healthy" with no cancellations — delays are "timing-based" rather than demand-driven.</w:t>
      </w:r>
    </w:p>
    <w:p>
      <w:pPr>
        <w:pStyle w:val="ListBullet"/>
        <w:ind w:left="360" w:hanging="360"/>
      </w:pPr>
      <w:r>
        <w:rPr>
          <w:rFonts w:ascii="Calibri" w:hAnsi="Calibri"/>
          <w:b/>
          <w:color w:val="525866"/>
          <w:sz w:val="22"/>
        </w:rPr>
        <w:t xml:space="preserve">Biopharma/Life Sciences: </w:t>
      </w:r>
      <w:r>
        <w:rPr>
          <w:rFonts w:ascii="Calibri" w:hAnsi="Calibri"/>
          <w:color w:val="525866"/>
          <w:sz w:val="22"/>
        </w:rPr>
        <w:t>IR saw "double digit organic orders" in life sciences in Q1 2026, with biopharma described as "the healthiest of the growers." The medical device business has a 2–3 year spec-in process, indicating a durable medium-term funnel.</w:t>
      </w:r>
    </w:p>
    <w:p>
      <w:pPr>
        <w:pStyle w:val="ListBullet"/>
        <w:ind w:left="360" w:hanging="360"/>
      </w:pPr>
      <w:r>
        <w:rPr>
          <w:rFonts w:ascii="Calibri" w:hAnsi="Calibri"/>
          <w:b/>
          <w:color w:val="525866"/>
          <w:sz w:val="22"/>
        </w:rPr>
        <w:t xml:space="preserve">Margin Trajectory: </w:t>
      </w:r>
      <w:r>
        <w:rPr>
          <w:rFonts w:ascii="Calibri" w:hAnsi="Calibri"/>
          <w:color w:val="525866"/>
          <w:sz w:val="22"/>
        </w:rPr>
        <w:t>Management guided for a "pretty decent margin step-up Q1 to Q2 and again Q2 to Q3," driven by volume improvement, restructuring benefits from H2 2025 actions, and a "slightly better pricing equation, price cost in the back half." This sequential margin improvement pattern is consistent with Dover's own seasonality commentary.</w:t>
      </w:r>
    </w:p>
    <w:p>
      <w:pPr>
        <w:pStyle w:val="ListBullet"/>
        <w:ind w:left="360" w:hanging="360"/>
      </w:pPr>
      <w:r>
        <w:rPr>
          <w:rFonts w:ascii="Calibri" w:hAnsi="Calibri"/>
          <w:b/>
          <w:color w:val="525866"/>
          <w:sz w:val="22"/>
        </w:rPr>
        <w:t xml:space="preserve">China Stabilization: </w:t>
      </w:r>
      <w:r>
        <w:rPr>
          <w:rFonts w:ascii="Calibri" w:hAnsi="Calibri"/>
          <w:color w:val="525866"/>
          <w:sz w:val="22"/>
        </w:rPr>
        <w:t>IR noted that "China comp growth headwinds are largely behind us" with "third quarter of organic orders momentum" in the IT segment. This is a mild positive for Dover's Imaging &amp; Identification segment, which has meaningful international (including China) exposure.</w:t>
      </w:r>
    </w:p>
    <w:p>
      <w:pPr>
        <w:pStyle w:val="ListBullet"/>
        <w:ind w:left="360" w:hanging="360"/>
      </w:pPr>
      <w:r>
        <w:rPr>
          <w:rFonts w:ascii="Calibri" w:hAnsi="Calibri"/>
          <w:b/>
          <w:color w:val="525866"/>
          <w:sz w:val="22"/>
        </w:rPr>
        <w:t xml:space="preserve">DOV Read-Through: </w:t>
      </w:r>
      <w:r>
        <w:rPr>
          <w:rFonts w:ascii="Calibri" w:hAnsi="Calibri"/>
          <w:color w:val="525866"/>
          <w:sz w:val="22"/>
        </w:rPr>
        <w:t>Positive. The improving short-cycle demand backdrop, healthy biopharma orders, and sequential margin improvement trajectory are all consistent with Dover's own Q2 setup. IR's confirmation that long-cycle project delays are timing-based (not cancellations) is particularly relevant for Dover's Pumps &amp; Process Solutions compression inflection thesis in H2 2026.</w:t>
      </w:r>
    </w:p>
    <w:p>
      <w:pPr>
        <w:pStyle w:val="Heading3"/>
      </w:pPr>
      <w:r>
        <w:rPr>
          <w:rFonts w:ascii="Calibri" w:hAnsi="Calibri"/>
          <w:b/>
          <w:color w:val="3B4259"/>
          <w:sz w:val="24"/>
        </w:rPr>
        <w:t>Pentair (PNR) — Negative Pre-Announcement (July 14–15, 2026)</w:t>
      </w:r>
    </w:p>
    <w:p>
      <w:r>
        <w:rPr>
          <w:rFonts w:ascii="Calibri" w:hAnsi="Calibri"/>
          <w:b/>
          <w:color w:val="525866"/>
          <w:sz w:val="22"/>
        </w:rPr>
        <w:t xml:space="preserve">Relevance to DOV: </w:t>
      </w:r>
      <w:r>
        <w:rPr>
          <w:rFonts w:ascii="Calibri" w:hAnsi="Calibri"/>
          <w:color w:val="525866"/>
          <w:sz w:val="22"/>
        </w:rPr>
        <w:t>Low-Moderate. Pentair's pool segment has no direct overlap with Dover, but the inventory destocking dynamic is a sector-level caution signal.</w:t>
      </w:r>
    </w:p>
    <w:p>
      <w:pPr>
        <w:pStyle w:val="ListBullet"/>
        <w:ind w:left="360" w:hanging="360"/>
      </w:pPr>
      <w:r>
        <w:rPr>
          <w:rFonts w:ascii="Calibri" w:hAnsi="Calibri"/>
          <w:b/>
          <w:color w:val="525866"/>
          <w:sz w:val="22"/>
        </w:rPr>
        <w:t xml:space="preserve">Negative Pre-Announcement: </w:t>
      </w:r>
      <w:r>
        <w:rPr>
          <w:rFonts w:ascii="Calibri" w:hAnsi="Calibri"/>
          <w:color w:val="525866"/>
          <w:sz w:val="22"/>
        </w:rPr>
        <w:t>Pentair cut full-year guidance, with Q2 sales down 17% YoY vs. Street estimate of +1%, driven by elevated pool industry inventories. Q2 EPS of $1.12 vs. consensus $1.47. Full-year sales now expected down 4–7% vs. prior guidance of up 2–4%. CFO resigned.</w:t>
      </w:r>
    </w:p>
    <w:p>
      <w:pPr>
        <w:pStyle w:val="ListBullet"/>
        <w:ind w:left="360" w:hanging="360"/>
      </w:pPr>
      <w:r>
        <w:rPr>
          <w:rFonts w:ascii="Calibri" w:hAnsi="Calibri"/>
          <w:b/>
          <w:color w:val="525866"/>
          <w:sz w:val="22"/>
        </w:rPr>
        <w:t xml:space="preserve">DOV Read-Through: </w:t>
      </w:r>
      <w:r>
        <w:rPr>
          <w:rFonts w:ascii="Calibri" w:hAnsi="Calibri"/>
          <w:color w:val="525866"/>
          <w:sz w:val="22"/>
        </w:rPr>
        <w:t>Limited direct read-through (Dover has no pool exposure), but the episode is a reminder that inventory destocking can surprise negatively in niche industrial end-markets. Dover's refrigeration recovery thesis — which management has described as a rebound from "historically low volume levels" — should be monitored for any similar inventory normalization dynamics. The key distinction: Dover's refrigeration recovery is driven by structural underpenetration of CO2 systems (sub-10% of installed base) rather than a cyclical inventory rebuild.</w:t>
      </w:r>
    </w:p>
    <w:p>
      <w:pPr>
        <w:pStyle w:val="Heading3"/>
      </w:pPr>
      <w:r>
        <w:rPr>
          <w:rFonts w:ascii="Calibri" w:hAnsi="Calibri"/>
          <w:b/>
          <w:color w:val="3B4259"/>
          <w:sz w:val="24"/>
        </w:rPr>
        <w:t>Saab (Defense) — Q2 2026 Results (July 17, 2026)</w:t>
      </w:r>
    </w:p>
    <w:p>
      <w:r>
        <w:rPr>
          <w:rFonts w:ascii="Calibri" w:hAnsi="Calibri"/>
          <w:b/>
          <w:color w:val="525866"/>
          <w:sz w:val="22"/>
        </w:rPr>
        <w:t xml:space="preserve">Relevance to DOV: </w:t>
      </w:r>
      <w:r>
        <w:rPr>
          <w:rFonts w:ascii="Calibri" w:hAnsi="Calibri"/>
          <w:color w:val="525866"/>
          <w:sz w:val="22"/>
        </w:rPr>
        <w:t>Moderate for Engineered Products (aerospace and defense). Saab's strong defense bookings read through to Dover's electronic warfare and signal intelligence components business.</w:t>
      </w:r>
    </w:p>
    <w:p>
      <w:pPr>
        <w:pStyle w:val="ListBullet"/>
        <w:ind w:left="360" w:hanging="360"/>
      </w:pPr>
      <w:r>
        <w:rPr>
          <w:rFonts w:ascii="Calibri" w:hAnsi="Calibri"/>
          <w:b/>
          <w:color w:val="525866"/>
          <w:sz w:val="22"/>
        </w:rPr>
        <w:t xml:space="preserve">Strong Defense Demand: </w:t>
      </w:r>
      <w:r>
        <w:rPr>
          <w:rFonts w:ascii="Calibri" w:hAnsi="Calibri"/>
          <w:color w:val="525866"/>
          <w:sz w:val="22"/>
        </w:rPr>
        <w:t>Saab reported robust Q2 sales with 29.8% organic growth, exceeding Street forecasts of approximately 20%, alongside strong orders with a book-to-bill ratio of 2.71x.</w:t>
      </w:r>
    </w:p>
    <w:p>
      <w:pPr>
        <w:pStyle w:val="ListBullet"/>
        <w:ind w:left="360" w:hanging="360"/>
      </w:pPr>
      <w:r>
        <w:rPr>
          <w:rFonts w:ascii="Calibri" w:hAnsi="Calibri"/>
          <w:b/>
          <w:color w:val="525866"/>
          <w:sz w:val="22"/>
        </w:rPr>
        <w:t xml:space="preserve">DOV Read-Through: </w:t>
      </w:r>
      <w:r>
        <w:rPr>
          <w:rFonts w:ascii="Calibri" w:hAnsi="Calibri"/>
          <w:color w:val="525866"/>
          <w:sz w:val="22"/>
        </w:rPr>
        <w:t>Positive. Surging global defense spending with exceptional bookings momentum validates Dover's Engineered Products segment thesis. Dover management has noted that aerospace and defense demand is experiencing "significant demand strength tied to electronic warfare and signal intelligence solutions" — Saab's 2.71x book-to-bill confirms this demand environment is real and accelerating.</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Message</w:t>
            </w:r>
          </w:p>
        </w:tc>
        <w:tc>
          <w:tcPr>
            <w:tcW w:type="dxa" w:w="1728"/>
            <w:shd w:val="clear" w:color="auto" w:fill="3B4259"/>
          </w:tcPr>
          <w:p>
            <w:r>
              <w:rPr>
                <w:rFonts w:ascii="Calibri" w:hAnsi="Calibri"/>
                <w:b/>
                <w:color w:val="FFFFFF"/>
                <w:sz w:val="22"/>
              </w:rPr>
              <w:t>DOV Segment Relevance</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3M (MMM)</w:t>
            </w:r>
          </w:p>
        </w:tc>
        <w:tc>
          <w:tcPr>
            <w:tcW w:type="dxa" w:w="1728"/>
          </w:tcPr>
          <w:p>
            <w:r>
              <w:rPr>
                <w:rFonts w:ascii="Calibri" w:hAnsi="Calibri"/>
                <w:sz w:val="22"/>
              </w:rPr>
              <w:t>Jul 21, 2026</w:t>
            </w:r>
          </w:p>
        </w:tc>
        <w:tc>
          <w:tcPr>
            <w:tcW w:type="dxa" w:w="1728"/>
          </w:tcPr>
          <w:p>
            <w:r>
              <w:rPr>
                <w:rFonts w:ascii="Calibri" w:hAnsi="Calibri"/>
                <w:sz w:val="22"/>
              </w:rPr>
              <w:t>Beat &amp; raise; 5.4% organic growth vs. 3.2% est.; AI/data center tailwind accelerating</w:t>
            </w:r>
          </w:p>
        </w:tc>
        <w:tc>
          <w:tcPr>
            <w:tcW w:type="dxa" w:w="1728"/>
          </w:tcPr>
          <w:p>
            <w:r>
              <w:rPr>
                <w:rFonts w:ascii="Calibri" w:hAnsi="Calibri"/>
                <w:sz w:val="22"/>
              </w:rPr>
              <w:t>Engineered Products, Pumps &amp; Process Solutions</w:t>
            </w:r>
          </w:p>
        </w:tc>
        <w:tc>
          <w:tcPr>
            <w:tcW w:type="dxa" w:w="1728"/>
          </w:tcPr>
          <w:p>
            <w:r>
              <w:rPr>
                <w:rFonts w:ascii="Calibri" w:hAnsi="Calibri"/>
                <w:b/>
                <w:color w:val="30A46C"/>
                <w:sz w:val="22"/>
              </w:rPr>
              <w:t>Positive</w:t>
            </w:r>
          </w:p>
        </w:tc>
      </w:tr>
      <w:tr>
        <w:tc>
          <w:tcPr>
            <w:tcW w:type="dxa" w:w="1728"/>
          </w:tcPr>
          <w:p>
            <w:r>
              <w:rPr>
                <w:rFonts w:ascii="Calibri" w:hAnsi="Calibri"/>
                <w:sz w:val="22"/>
              </w:rPr>
              <w:t>Wabtec (WAB)</w:t>
            </w:r>
          </w:p>
        </w:tc>
        <w:tc>
          <w:tcPr>
            <w:tcW w:type="dxa" w:w="1728"/>
          </w:tcPr>
          <w:p>
            <w:r>
              <w:rPr>
                <w:rFonts w:ascii="Calibri" w:hAnsi="Calibri"/>
                <w:sz w:val="22"/>
              </w:rPr>
              <w:t>Jul 22, 2026</w:t>
            </w:r>
          </w:p>
        </w:tc>
        <w:tc>
          <w:tcPr>
            <w:tcW w:type="dxa" w:w="1728"/>
          </w:tcPr>
          <w:p>
            <w:r>
              <w:rPr>
                <w:rFonts w:ascii="Calibri" w:hAnsi="Calibri"/>
                <w:sz w:val="22"/>
              </w:rPr>
              <w:t>Beat &amp; raise; sales +17.5%; operating margin +80 bps; customers optimistic on large projects</w:t>
            </w:r>
          </w:p>
        </w:tc>
        <w:tc>
          <w:tcPr>
            <w:tcW w:type="dxa" w:w="1728"/>
          </w:tcPr>
          <w:p>
            <w:r>
              <w:rPr>
                <w:rFonts w:ascii="Calibri" w:hAnsi="Calibri"/>
                <w:sz w:val="22"/>
              </w:rPr>
              <w:t>Engineered Products, Clean Energy &amp; Fueling</w:t>
            </w:r>
          </w:p>
        </w:tc>
        <w:tc>
          <w:tcPr>
            <w:tcW w:type="dxa" w:w="1728"/>
          </w:tcPr>
          <w:p>
            <w:r>
              <w:rPr>
                <w:rFonts w:ascii="Calibri" w:hAnsi="Calibri"/>
                <w:b/>
                <w:color w:val="30A46C"/>
                <w:sz w:val="22"/>
              </w:rPr>
              <w:t>Positive</w:t>
            </w:r>
          </w:p>
        </w:tc>
      </w:tr>
      <w:tr>
        <w:tc>
          <w:tcPr>
            <w:tcW w:type="dxa" w:w="1728"/>
          </w:tcPr>
          <w:p>
            <w:r>
              <w:rPr>
                <w:rFonts w:ascii="Calibri" w:hAnsi="Calibri"/>
                <w:sz w:val="22"/>
              </w:rPr>
              <w:t>GE Aerospace (GE)</w:t>
            </w:r>
          </w:p>
        </w:tc>
        <w:tc>
          <w:tcPr>
            <w:tcW w:type="dxa" w:w="1728"/>
          </w:tcPr>
          <w:p>
            <w:r>
              <w:rPr>
                <w:rFonts w:ascii="Calibri" w:hAnsi="Calibri"/>
                <w:sz w:val="22"/>
              </w:rPr>
              <w:t>Jul 16, 2026</w:t>
            </w:r>
          </w:p>
        </w:tc>
        <w:tc>
          <w:tcPr>
            <w:tcW w:type="dxa" w:w="1728"/>
          </w:tcPr>
          <w:p>
            <w:r>
              <w:rPr>
                <w:rFonts w:ascii="Calibri" w:hAnsi="Calibri"/>
                <w:sz w:val="22"/>
              </w:rPr>
              <w:t>Beat &amp; raise; bookings +17%; sold out into early 2030s; supply chain improving</w:t>
            </w:r>
          </w:p>
        </w:tc>
        <w:tc>
          <w:tcPr>
            <w:tcW w:type="dxa" w:w="1728"/>
          </w:tcPr>
          <w:p>
            <w:r>
              <w:rPr>
                <w:rFonts w:ascii="Calibri" w:hAnsi="Calibri"/>
                <w:sz w:val="22"/>
              </w:rPr>
              <w:t>Engineered Products (A&amp;D)</w:t>
            </w:r>
          </w:p>
        </w:tc>
        <w:tc>
          <w:tcPr>
            <w:tcW w:type="dxa" w:w="1728"/>
          </w:tcPr>
          <w:p>
            <w:r>
              <w:rPr>
                <w:rFonts w:ascii="Calibri" w:hAnsi="Calibri"/>
                <w:b/>
                <w:color w:val="30A46C"/>
                <w:sz w:val="22"/>
              </w:rPr>
              <w:t>Positive</w:t>
            </w:r>
          </w:p>
        </w:tc>
      </w:tr>
      <w:tr>
        <w:tc>
          <w:tcPr>
            <w:tcW w:type="dxa" w:w="1728"/>
          </w:tcPr>
          <w:p>
            <w:r>
              <w:rPr>
                <w:rFonts w:ascii="Calibri" w:hAnsi="Calibri"/>
                <w:sz w:val="22"/>
              </w:rPr>
              <w:t>Rockwell Automation (ROK)</w:t>
            </w:r>
          </w:p>
        </w:tc>
        <w:tc>
          <w:tcPr>
            <w:tcW w:type="dxa" w:w="1728"/>
          </w:tcPr>
          <w:p>
            <w:r>
              <w:rPr>
                <w:rFonts w:ascii="Calibri" w:hAnsi="Calibri"/>
                <w:sz w:val="22"/>
              </w:rPr>
              <w:t>Jun 11, 2026</w:t>
            </w:r>
          </w:p>
        </w:tc>
        <w:tc>
          <w:tcPr>
            <w:tcW w:type="dxa" w:w="1728"/>
          </w:tcPr>
          <w:p>
            <w:r>
              <w:rPr>
                <w:rFonts w:ascii="Calibri" w:hAnsi="Calibri"/>
                <w:sz w:val="22"/>
              </w:rPr>
              <w:t>Raised FY organic guide to 7%; data center/semiconductor demand broadening; no pre-buying in channel</w:t>
            </w:r>
          </w:p>
        </w:tc>
        <w:tc>
          <w:tcPr>
            <w:tcW w:type="dxa" w:w="1728"/>
          </w:tcPr>
          <w:p>
            <w:r>
              <w:rPr>
                <w:rFonts w:ascii="Calibri" w:hAnsi="Calibri"/>
                <w:sz w:val="22"/>
              </w:rPr>
              <w:t>Pumps &amp; Process Solutions, Engineered Products</w:t>
            </w:r>
          </w:p>
        </w:tc>
        <w:tc>
          <w:tcPr>
            <w:tcW w:type="dxa" w:w="1728"/>
          </w:tcPr>
          <w:p>
            <w:r>
              <w:rPr>
                <w:rFonts w:ascii="Calibri" w:hAnsi="Calibri"/>
                <w:b/>
                <w:color w:val="30A46C"/>
                <w:sz w:val="22"/>
              </w:rPr>
              <w:t>Positive</w:t>
            </w:r>
          </w:p>
        </w:tc>
      </w:tr>
      <w:tr>
        <w:tc>
          <w:tcPr>
            <w:tcW w:type="dxa" w:w="1728"/>
          </w:tcPr>
          <w:p>
            <w:r>
              <w:rPr>
                <w:rFonts w:ascii="Calibri" w:hAnsi="Calibri"/>
                <w:sz w:val="22"/>
              </w:rPr>
              <w:t>Ingersoll Rand (IR)</w:t>
            </w:r>
          </w:p>
        </w:tc>
        <w:tc>
          <w:tcPr>
            <w:tcW w:type="dxa" w:w="1728"/>
          </w:tcPr>
          <w:p>
            <w:r>
              <w:rPr>
                <w:rFonts w:ascii="Calibri" w:hAnsi="Calibri"/>
                <w:sz w:val="22"/>
              </w:rPr>
              <w:t>Jun 10, 2026</w:t>
            </w:r>
          </w:p>
        </w:tc>
        <w:tc>
          <w:tcPr>
            <w:tcW w:type="dxa" w:w="1728"/>
          </w:tcPr>
          <w:p>
            <w:r>
              <w:rPr>
                <w:rFonts w:ascii="Calibri" w:hAnsi="Calibri"/>
                <w:sz w:val="22"/>
              </w:rPr>
              <w:t>Short-cycle demand improving; biopharma orders double-digit; sequential margin step-up Q1→Q2→Q3</w:t>
            </w:r>
          </w:p>
        </w:tc>
        <w:tc>
          <w:tcPr>
            <w:tcW w:type="dxa" w:w="1728"/>
          </w:tcPr>
          <w:p>
            <w:r>
              <w:rPr>
                <w:rFonts w:ascii="Calibri" w:hAnsi="Calibri"/>
                <w:sz w:val="22"/>
              </w:rPr>
              <w:t>Pumps &amp; Process Solutions, Clean Energy &amp; Fueling</w:t>
            </w:r>
          </w:p>
        </w:tc>
        <w:tc>
          <w:tcPr>
            <w:tcW w:type="dxa" w:w="1728"/>
          </w:tcPr>
          <w:p>
            <w:r>
              <w:rPr>
                <w:rFonts w:ascii="Calibri" w:hAnsi="Calibri"/>
                <w:b/>
                <w:color w:val="30A46C"/>
                <w:sz w:val="22"/>
              </w:rPr>
              <w:t>Positive</w:t>
            </w:r>
          </w:p>
        </w:tc>
      </w:tr>
      <w:tr>
        <w:tc>
          <w:tcPr>
            <w:tcW w:type="dxa" w:w="1728"/>
          </w:tcPr>
          <w:p>
            <w:r>
              <w:rPr>
                <w:rFonts w:ascii="Calibri" w:hAnsi="Calibri"/>
                <w:sz w:val="22"/>
              </w:rPr>
              <w:t>Saab (Defense)</w:t>
            </w:r>
          </w:p>
        </w:tc>
        <w:tc>
          <w:tcPr>
            <w:tcW w:type="dxa" w:w="1728"/>
          </w:tcPr>
          <w:p>
            <w:r>
              <w:rPr>
                <w:rFonts w:ascii="Calibri" w:hAnsi="Calibri"/>
                <w:sz w:val="22"/>
              </w:rPr>
              <w:t>Jul 17, 2026</w:t>
            </w:r>
          </w:p>
        </w:tc>
        <w:tc>
          <w:tcPr>
            <w:tcW w:type="dxa" w:w="1728"/>
          </w:tcPr>
          <w:p>
            <w:r>
              <w:rPr>
                <w:rFonts w:ascii="Calibri" w:hAnsi="Calibri"/>
                <w:sz w:val="22"/>
              </w:rPr>
              <w:t>29.8% organic growth; book-to-bill 2.71x; global defense spending surging</w:t>
            </w:r>
          </w:p>
        </w:tc>
        <w:tc>
          <w:tcPr>
            <w:tcW w:type="dxa" w:w="1728"/>
          </w:tcPr>
          <w:p>
            <w:r>
              <w:rPr>
                <w:rFonts w:ascii="Calibri" w:hAnsi="Calibri"/>
                <w:sz w:val="22"/>
              </w:rPr>
              <w:t>Engineered Products (A&amp;D)</w:t>
            </w:r>
          </w:p>
        </w:tc>
        <w:tc>
          <w:tcPr>
            <w:tcW w:type="dxa" w:w="1728"/>
          </w:tcPr>
          <w:p>
            <w:r>
              <w:rPr>
                <w:rFonts w:ascii="Calibri" w:hAnsi="Calibri"/>
                <w:b/>
                <w:color w:val="30A46C"/>
                <w:sz w:val="22"/>
              </w:rPr>
              <w:t>Positive</w:t>
            </w:r>
          </w:p>
        </w:tc>
      </w:tr>
      <w:tr>
        <w:tc>
          <w:tcPr>
            <w:tcW w:type="dxa" w:w="1728"/>
          </w:tcPr>
          <w:p>
            <w:r>
              <w:rPr>
                <w:rFonts w:ascii="Calibri" w:hAnsi="Calibri"/>
                <w:sz w:val="22"/>
              </w:rPr>
              <w:t>Pentair (PNR)</w:t>
            </w:r>
          </w:p>
        </w:tc>
        <w:tc>
          <w:tcPr>
            <w:tcW w:type="dxa" w:w="1728"/>
          </w:tcPr>
          <w:p>
            <w:r>
              <w:rPr>
                <w:rFonts w:ascii="Calibri" w:hAnsi="Calibri"/>
                <w:sz w:val="22"/>
              </w:rPr>
              <w:t>Jul 14–15, 2026</w:t>
            </w:r>
          </w:p>
        </w:tc>
        <w:tc>
          <w:tcPr>
            <w:tcW w:type="dxa" w:w="1728"/>
          </w:tcPr>
          <w:p>
            <w:r>
              <w:rPr>
                <w:rFonts w:ascii="Calibri" w:hAnsi="Calibri"/>
                <w:sz w:val="22"/>
              </w:rPr>
              <w:t>Negative pre-announcement; pool inventory destocking; Q2 sales −17% vs. +1% est.</w:t>
            </w:r>
          </w:p>
        </w:tc>
        <w:tc>
          <w:tcPr>
            <w:tcW w:type="dxa" w:w="1728"/>
          </w:tcPr>
          <w:p>
            <w:r>
              <w:rPr>
                <w:rFonts w:ascii="Calibri" w:hAnsi="Calibri"/>
                <w:sz w:val="22"/>
              </w:rPr>
              <w:t>No direct overlap; sector caution signal</w:t>
            </w:r>
          </w:p>
        </w:tc>
        <w:tc>
          <w:tcPr>
            <w:tcW w:type="dxa" w:w="1728"/>
          </w:tcPr>
          <w:p>
            <w:r>
              <w:rPr>
                <w:rFonts w:ascii="Calibri" w:hAnsi="Calibri"/>
                <w:b/>
                <w:color w:val="002FA7"/>
                <w:sz w:val="22"/>
              </w:rPr>
              <w:t>Neutral/Caution</w:t>
            </w:r>
          </w:p>
        </w:tc>
      </w:tr>
    </w:tbl>
    <w:p>
      <w:r>
        <w:rPr>
          <w:rFonts w:ascii="Calibri" w:hAnsi="Calibri"/>
          <w:b/>
          <w:color w:val="525866"/>
          <w:sz w:val="22"/>
        </w:rPr>
        <w:t xml:space="preserve">Overall Peer Read-Through Assessment: </w:t>
      </w:r>
      <w:r>
        <w:rPr>
          <w:rFonts w:ascii="Calibri" w:hAnsi="Calibri"/>
          <w:color w:val="525866"/>
          <w:sz w:val="22"/>
        </w:rPr>
        <w:t>The peer commentary backdrop heading into Dover's Q2 2026 print is broadly constructive. Six of seven relevant peer data points are positive, with the sole caution (Pentair) having no direct end-market overlap with Dover. The consistent themes across peers — accelerating AI/data center infrastructure demand, improving short-cycle industrial activity, strong aerospace and defense bookings, and intact pricing power — all align with Dover's own Q2 setup narrative. The Rockwell Automation confirmation of no pre-buying activity in the channel is particularly important, as it validates Dover management's Q1 assertion that the record bookings quarter reflects genuine demand-supply constraints rather than pull-forward activity that would create a hangover in Q2.</w:t>
      </w:r>
    </w:p>
    <w:p>
      <w:r>
        <w:rPr>
          <w:rFonts w:ascii="Calibri" w:hAnsi="Calibri"/>
          <w:i/>
          <w:color w:val="525866"/>
          <w:sz w:val="22"/>
        </w:rPr>
        <w:t xml:space="preserve">Excluded from this section: </w:t>
      </w:r>
      <w:r>
        <w:rPr>
          <w:rFonts w:ascii="Calibri" w:hAnsi="Calibri"/>
          <w:i/>
          <w:color w:val="525866"/>
          <w:sz w:val="22"/>
        </w:rPr>
        <w:t>All peer Q1 2026 earnings calls (reported in April 2026) and any commentary made before May 23, 2026 have been excluded per the scope criteria. The Wells Fargo Industrials &amp; Materials Conference transcripts for ROK (June 11) and IR (June 10) are included because they contain forward-looking commentary about the then-current Q2 2026 reporting period and full-year 2026 outlook, not retrospective Q1 results.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