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ow-earnings-predictions--2026-07-23"/>
    <w:p>
      <w:pPr>
        <w:pStyle w:val="Heading1"/>
      </w:pPr>
      <w:r>
        <w:t xml:space="preserve">DOW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2.30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1.34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1.26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12.0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11.95B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Operating EBITDA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2.1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1.85B (Q3'26)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May PE price-increase realization (integrated margin)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0.35</m:t>
              </m:r>
              <m:r>
                <m:rPr>
                  <m:sty m:val="p"/>
                </m:rPr>
                <m:t>/</m:t>
              </m:r>
              <m:r>
                <m:t>l</m:t>
              </m:r>
              <m:r>
                <m:t>b</m:t>
              </m:r>
              <m:r>
                <m:t>m</m:t>
              </m:r>
              <m:r>
                <m:t>a</m:t>
              </m:r>
              <m:r>
                <m:t>r</m:t>
              </m:r>
              <m:r>
                <m:t>g</m:t>
              </m:r>
              <m:r>
                <m:t>i</m:t>
              </m:r>
              <m:r>
                <m:t>n</m:t>
              </m:r>
              <m:r>
                <m:t>u</m:t>
              </m:r>
              <m:r>
                <m:t>p</m:t>
              </m:r>
              <m:r>
                <m:t>l</m:t>
              </m:r>
              <m:r>
                <m:t>i</m:t>
              </m:r>
              <m:r>
                <m:t>f</m:t>
              </m:r>
              <m:r>
                <m:t>t</m:t>
              </m:r>
              <m:r>
                <m:t>r</m:t>
              </m:r>
              <m:r>
                <m:t>e</m:t>
              </m:r>
              <m:r>
                <m:t>a</m:t>
              </m:r>
              <m:r>
                <m:t>l</m:t>
              </m:r>
              <m:r>
                <m:t>i</m:t>
              </m:r>
              <m:r>
                <m:t>z</m:t>
              </m:r>
              <m:r>
                <m:t>e</m:t>
              </m:r>
              <m:r>
                <m:t>d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0.26/lb April-only baked into $2B guide (Q2/Q3'26)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Middle East disruption duration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6-18mo runway reaffirmed/extended vs. cons ~6mo normalization assumed (H2'26-2027)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Sadara restructuring midyear update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update pending vs. ~</w:t>
            </w:r>
            <m:oMath>
              <m:r>
                <m:t>1.4</m:t>
              </m:r>
              <m:r>
                <m:t>B</m:t>
              </m:r>
              <m:r>
                <m:t>o</m:t>
              </m:r>
              <m:r>
                <m:t>b</m:t>
              </m:r>
              <m:r>
                <m:t>l</m:t>
              </m:r>
              <m:r>
                <m:t>i</m:t>
              </m:r>
              <m:r>
                <m:t>g</m:t>
              </m:r>
              <m:r>
                <m:t>a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t>c</m:t>
              </m:r>
              <m:r>
                <m:t>a</m:t>
              </m:r>
              <m:r>
                <m:t>p</m:t>
              </m:r>
              <m:r>
                <m:rPr>
                  <m:sty m:val="p"/>
                </m:rPr>
                <m:t>/</m:t>
              </m:r>
              <m:r>
                <m:t> </m:t>
              </m:r>
            </m:oMath>
            <w:r>
              <w:t xml:space="preserve">100M/yr cash through 2038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self-help benefits pacing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1.1</m:t>
              </m:r>
              <m:r>
                <m:t>B</m:t>
              </m:r>
              <m:r>
                <m:t>F</m:t>
              </m:r>
              <m:r>
                <m:t>Y</m:t>
              </m:r>
              <m:r>
                <m:t>26</m:t>
              </m:r>
              <m:r>
                <m:rPr>
                  <m:sty m:val="p"/>
                </m:rPr>
                <m:t>(</m:t>
              </m:r>
              <m:r>
                <m:t>i</m:t>
              </m:r>
              <m:r>
                <m:t>n</m:t>
              </m:r>
              <m:r>
                <m:t>c</m:t>
              </m:r>
              <m:r>
                <m:t>l</m:t>
              </m:r>
              <m:r>
                <m:rPr>
                  <m:sty m:val="p"/>
                </m:rPr>
                <m:t>.</m:t>
              </m:r>
              <m:r>
                <m:t> </m:t>
              </m:r>
            </m:oMath>
            <w:r>
              <w:t xml:space="preserve">400M H2 ramp) vs. cons ~$1.1B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(FADE)</w:t>
            </w:r>
          </w:p>
        </w:tc>
        <w:tc>
          <w:tcPr/>
          <w:p>
            <w:pPr>
              <w:pStyle w:val="Compact"/>
            </w:pPr>
            <w:r>
              <w:t xml:space="preserve">The blowout EBITDA/EPS beat is essentially pre-announced (mgmt's $2B guide + known April/May PE hikes), so a modest day-1 pop on a strong Q3 guide amid fresh Hormuz re-escalation gives way to fade: out-period math is the problem — the disruption-driven spike is transient (mgmt itself frames 6-18mo, i.e., peak-then-normalize), 2027 estimates get capped/cut as the cost-curve steepening is temporary, and the stock trades as an Iran-sentiment proxy the market distrusts on fundamentals (II&amp;I/PM&amp;C still loss-making). Any détente headline or profit-taking reverses the geopolitical premium, pulling residual negative over the week.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2026-07-23T00:10:57Z</dcterms:created>
  <dcterms:modified xsi:type="dcterms:W3CDTF">2026-07-23T00:10:57Z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