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DOW (Dow Inc.) before writing the preview. Let me gather recent earnings materials, filings, and news.Let me read the most recent earnings call (2026Q1) and the latest release, plus check recent news.Let me pull stock price history and broader news/macro context to round out the picture.I have strong context. Let me quickly check the latest earnings release for the dividend and balance-sheet specifics, and confirm the Q2 setup details.# Dow Inc. (DOW) — Q2 2026 Earnings Preview</w:t>
      </w:r>
    </w:p>
    <w:bookmarkStart w:id="9" w:name="Xc38825f058e2aa80e63396c8fd72ed2754b2e1f"/>
    <w:p>
      <w:pPr>
        <w:pStyle w:val="Heading3"/>
      </w:pPr>
      <w:r>
        <w:t xml:space="preserve">Reporting Thursday, July 23, 2026 (before U.S.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Dow enters this print as one of the most geared plays in materials on the Middle East supply shock. Management has already told investors what "good" looks like — a sharp sequential jump in EBITDA driven by a polyethylene pricing spike — so the report is less about the headline beat and more about</w:t>
      </w:r>
      <w:r>
        <w:t xml:space="preserve"> </w:t>
      </w:r>
      <w:r>
        <w:rPr>
          <w:b/>
          <w:bCs/>
        </w:rPr>
        <w:t xml:space="preserve">whether the pricing surge is sustainable, how Q3 is guided, and how new CEO Karen Carter frames Dow's path off the bottom.</w:t>
      </w:r>
    </w:p>
    <w:p>
      <w:r>
        <w:pict>
          <v:rect style="width:0;height:1.5pt" o:hralign="center" o:hrstd="t" o:hr="t"/>
        </w:pict>
      </w:r>
    </w:p>
    <w:bookmarkEnd w:id="10"/>
    <w:bookmarkStart w:id="11" w:name="what-the-street-expects"/>
    <w:p>
      <w:pPr>
        <w:pStyle w:val="Heading2"/>
      </w:pPr>
      <w:r>
        <w:t xml:space="preserve">What the Street expects</w:t>
      </w:r>
    </w:p>
    <w:p>
      <w:pPr>
        <w:pStyle w:val="FirstParagraph"/>
      </w:pPr>
      <w:r>
        <w:t xml:space="preserve">Per the pre-earnings news digest, consensus for Q2 is roughly:</w:t>
      </w:r>
    </w:p>
    <w:p>
      <w:pPr>
        <w:pStyle w:val="Compact"/>
        <w:numPr>
          <w:ilvl w:val="0"/>
          <w:numId w:val="1001"/>
        </w:numPr>
      </w:pPr>
      <w:r>
        <w:rPr>
          <w:b/>
          <w:bCs/>
        </w:rPr>
        <w:t xml:space="preserve">Sales:</w:t>
      </w:r>
      <w:r>
        <w:t xml:space="preserve"> </w:t>
      </w:r>
      <w:r>
        <w:t xml:space="preserve">~$11.95B</w:t>
      </w:r>
    </w:p>
    <w:p>
      <w:pPr>
        <w:pStyle w:val="Compact"/>
        <w:numPr>
          <w:ilvl w:val="0"/>
          <w:numId w:val="1001"/>
        </w:numPr>
      </w:pPr>
      <w:r>
        <w:rPr>
          <w:b/>
          <w:bCs/>
        </w:rPr>
        <w:t xml:space="preserve">Operating EBITDA:</w:t>
      </w:r>
      <w:r>
        <w:t xml:space="preserve"> </w:t>
      </w:r>
      <w:r>
        <w:t xml:space="preserve">~$2.2B</w:t>
      </w:r>
    </w:p>
    <w:p>
      <w:pPr>
        <w:pStyle w:val="Compact"/>
        <w:numPr>
          <w:ilvl w:val="0"/>
          <w:numId w:val="1001"/>
        </w:numPr>
      </w:pPr>
      <w:r>
        <w:rPr>
          <w:b/>
          <w:bCs/>
        </w:rPr>
        <w:t xml:space="preserve">EPS:</w:t>
      </w:r>
      <w:r>
        <w:t xml:space="preserve"> </w:t>
      </w:r>
      <w:r>
        <w:t xml:space="preserve">~$1.26</w:t>
      </w:r>
    </w:p>
    <w:p>
      <w:pPr>
        <w:pStyle w:val="FirstParagraph"/>
      </w:pPr>
      <w:r>
        <w:t xml:space="preserve">That compares with management's own Q1-call guidance of</w:t>
      </w:r>
      <w:r>
        <w:t xml:space="preserve"> </w:t>
      </w:r>
      <w:r>
        <w:rPr>
          <w:b/>
          <w:bCs/>
        </w:rPr>
        <w:t xml:space="preserve">~</w:t>
      </w:r>
      <m:oMath>
        <m:r>
          <m:t>12</m:t>
        </m:r>
        <m:r>
          <m:t>B</m:t>
        </m:r>
        <m:r>
          <m:t>r</m:t>
        </m:r>
        <m:r>
          <m:t>e</m:t>
        </m:r>
        <m:r>
          <m:t>v</m:t>
        </m:r>
        <m:r>
          <m:t>e</m:t>
        </m:r>
        <m:r>
          <m:t>n</m:t>
        </m:r>
        <m:r>
          <m:t>u</m:t>
        </m:r>
        <m:r>
          <m:t>e</m:t>
        </m:r>
        <m:r>
          <m:t>a</m:t>
        </m:r>
        <m:r>
          <m:t>n</m:t>
        </m:r>
        <m:r>
          <m:t>d</m:t>
        </m:r>
        <m:r>
          <m:t> </m:t>
        </m:r>
      </m:oMath>
      <w:r>
        <w:rPr>
          <w:b/>
          <w:bCs/>
        </w:rPr>
        <w:t xml:space="preserve">2.0B EBITDA</w:t>
      </w:r>
      <w:r>
        <w:t xml:space="preserve"> </w:t>
      </w:r>
      <w:r>
        <w:t xml:space="preserve">— so the sell-side is modeling ~$200M of upside to the company's guide, likely reflecting the incremental May polyethylene price increase that Dow explicitly excluded from its $2B framework.</w:t>
      </w:r>
    </w:p>
    <w:p>
      <w:pPr>
        <w:pStyle w:val="BodyText"/>
      </w:pPr>
      <w:r>
        <w:rPr>
          <w:b/>
          <w:bCs/>
        </w:rPr>
        <w:t xml:space="preserve">Context for how big a swing this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Q4'25</w:t>
            </w:r>
          </w:p>
        </w:tc>
        <w:tc>
          <w:tcPr/>
          <w:p>
            <w:pPr>
              <w:pStyle w:val="Compact"/>
            </w:pPr>
            <w:r>
              <w:t xml:space="preserve">Q1'26</w:t>
            </w:r>
          </w:p>
        </w:tc>
        <w:tc>
          <w:tcPr/>
          <w:p>
            <w:pPr>
              <w:pStyle w:val="Compact"/>
            </w:pPr>
            <w:r>
              <w:t xml:space="preserve">Q2'26 guide</w:t>
            </w:r>
          </w:p>
        </w:tc>
        <w:tc>
          <w:tcPr/>
          <w:p>
            <w:pPr>
              <w:pStyle w:val="Compact"/>
            </w:pPr>
            <w:r>
              <w:t xml:space="preserve">Q2'26 Street</w:t>
            </w:r>
          </w:p>
        </w:tc>
      </w:tr>
      <w:tr>
        <w:tc>
          <w:tcPr/>
          <w:p>
            <w:pPr>
              <w:pStyle w:val="Compact"/>
            </w:pPr>
            <w:r>
              <w:t xml:space="preserve">Net sales</w:t>
            </w:r>
          </w:p>
        </w:tc>
        <w:tc>
          <w:tcPr/>
          <w:p>
            <w:pPr>
              <w:pStyle w:val="Compact"/>
            </w:pPr>
            <w:r>
              <w:t xml:space="preserve">$9.46B</w:t>
            </w:r>
          </w:p>
        </w:tc>
        <w:tc>
          <w:tcPr/>
          <w:p>
            <w:pPr>
              <w:pStyle w:val="Compact"/>
            </w:pPr>
            <w:r>
              <w:t xml:space="preserve">$9.8B</w:t>
            </w:r>
          </w:p>
        </w:tc>
        <w:tc>
          <w:tcPr/>
          <w:p>
            <w:pPr>
              <w:pStyle w:val="Compact"/>
            </w:pPr>
            <w:r>
              <w:t xml:space="preserve">~$12B</w:t>
            </w:r>
          </w:p>
        </w:tc>
        <w:tc>
          <w:tcPr/>
          <w:p>
            <w:pPr>
              <w:pStyle w:val="Compact"/>
            </w:pPr>
            <w:r>
              <w:t xml:space="preserve">~$11.95B</w:t>
            </w:r>
          </w:p>
        </w:tc>
      </w:tr>
      <w:tr>
        <w:tc>
          <w:tcPr/>
          <w:p>
            <w:pPr>
              <w:pStyle w:val="Compact"/>
            </w:pPr>
            <w:r>
              <w:t xml:space="preserve">Operating EBITDA</w:t>
            </w:r>
          </w:p>
        </w:tc>
        <w:tc>
          <w:tcPr/>
          <w:p>
            <w:pPr>
              <w:pStyle w:val="Compact"/>
            </w:pPr>
            <w:r>
              <w:t xml:space="preserve">$741M</w:t>
            </w:r>
          </w:p>
        </w:tc>
        <w:tc>
          <w:tcPr/>
          <w:p>
            <w:pPr>
              <w:pStyle w:val="Compact"/>
            </w:pPr>
            <w:r>
              <w:t xml:space="preserve">$873M</w:t>
            </w:r>
          </w:p>
        </w:tc>
        <w:tc>
          <w:tcPr/>
          <w:p>
            <w:pPr>
              <w:pStyle w:val="Compact"/>
            </w:pPr>
            <w:r>
              <w:t xml:space="preserve">~$2.0B</w:t>
            </w:r>
          </w:p>
        </w:tc>
        <w:tc>
          <w:tcPr/>
          <w:p>
            <w:pPr>
              <w:pStyle w:val="Compact"/>
            </w:pPr>
            <w:r>
              <w:t xml:space="preserve">~$2.2B</w:t>
            </w:r>
          </w:p>
        </w:tc>
      </w:tr>
      <w:tr>
        <w:tc>
          <w:tcPr/>
          <w:p>
            <w:pPr>
              <w:pStyle w:val="Compact"/>
            </w:pPr>
            <w:r>
              <w:t xml:space="preserve">Operating EPS</w:t>
            </w:r>
          </w:p>
        </w:tc>
        <w:tc>
          <w:tcPr/>
          <w:p>
            <w:pPr>
              <w:pStyle w:val="Compact"/>
            </w:pPr>
            <w:r>
              <w:t xml:space="preserve">–$0.34</w:t>
            </w:r>
          </w:p>
        </w:tc>
        <w:tc>
          <w:tcPr/>
          <w:p>
            <w:pPr>
              <w:pStyle w:val="Compact"/>
            </w:pPr>
            <w:r>
              <w:t xml:space="preserve">—</w:t>
            </w:r>
          </w:p>
        </w:tc>
        <w:tc>
          <w:tcPr/>
          <w:p>
            <w:pPr>
              <w:pStyle w:val="Compact"/>
            </w:pPr>
            <w:r>
              <w:t xml:space="preserve">—</w:t>
            </w:r>
          </w:p>
        </w:tc>
        <w:tc>
          <w:tcPr/>
          <w:p>
            <w:pPr>
              <w:pStyle w:val="Compact"/>
            </w:pPr>
            <w:r>
              <w:t xml:space="preserve">~$1.26</w:t>
            </w:r>
          </w:p>
        </w:tc>
      </w:tr>
    </w:tbl>
    <w:p>
      <w:pPr>
        <w:pStyle w:val="BodyText"/>
      </w:pPr>
      <w:r>
        <w:t xml:space="preserve">A ~$2B EBITDA quarter would more than double Q1's</w:t>
      </w:r>
      <w:r>
        <w:t xml:space="preserve"> </w:t>
      </w:r>
      <m:oMath>
        <m:r>
          <m:t>873</m:t>
        </m:r>
        <m:r>
          <m:t>M</m:t>
        </m:r>
        <m:r>
          <m:t>a</m:t>
        </m:r>
        <m:r>
          <m:t>n</m:t>
        </m:r>
        <m:r>
          <m:t>d</m:t>
        </m:r>
        <m:r>
          <m:t>r</m:t>
        </m:r>
        <m:r>
          <m:t>o</m:t>
        </m:r>
        <m:r>
          <m:t>u</m:t>
        </m:r>
        <m:r>
          <m:t>g</m:t>
        </m:r>
        <m:r>
          <m:t>h</m:t>
        </m:r>
        <m:r>
          <m:t>l</m:t>
        </m:r>
        <m:r>
          <m:t>y</m:t>
        </m:r>
        <m:r>
          <m:t>t</m:t>
        </m:r>
        <m:r>
          <m:t>r</m:t>
        </m:r>
        <m:r>
          <m:t>i</m:t>
        </m:r>
        <m:r>
          <m:t>p</m:t>
        </m:r>
        <m:r>
          <m:t>l</m:t>
        </m:r>
        <m:r>
          <m:t>e</m:t>
        </m:r>
        <m:r>
          <m:t>t</m:t>
        </m:r>
        <m:r>
          <m:t>h</m:t>
        </m:r>
        <m:r>
          <m:t>e</m:t>
        </m:r>
        <m:r>
          <m:t>t</m:t>
        </m:r>
        <m:r>
          <m:t>r</m:t>
        </m:r>
        <m:r>
          <m:t>o</m:t>
        </m:r>
        <m:r>
          <m:t>u</m:t>
        </m:r>
        <m:r>
          <m:t>g</m:t>
        </m:r>
        <m:r>
          <m:t>h</m:t>
        </m:r>
        <m:r>
          <m:t>Q</m:t>
        </m:r>
        <m:sSup>
          <m:e>
            <m:r>
              <m:t>4</m:t>
            </m:r>
          </m:e>
          <m:sup>
            <m:r>
              <m:rPr>
                <m:sty m:val="p"/>
              </m:rPr>
              <m:t>′</m:t>
            </m:r>
          </m:sup>
        </m:sSup>
        <m:r>
          <m:t>25</m:t>
        </m:r>
        <m:r>
          <m:t>l</m:t>
        </m:r>
        <m:r>
          <m:t>e</m:t>
        </m:r>
        <m:r>
          <m:t>v</m:t>
        </m:r>
        <m:r>
          <m:t>e</m:t>
        </m:r>
        <m:r>
          <m:t>l</m:t>
        </m:r>
        <m:r>
          <m:rPr>
            <m:sty m:val="p"/>
          </m:rPr>
          <m:t>(</m:t>
        </m:r>
      </m:oMath>
      <w:r>
        <w:t xml:space="preserve">741M) — and would nearly match Dow's</w:t>
      </w:r>
      <w:r>
        <w:t xml:space="preserve"> </w:t>
      </w:r>
      <w:r>
        <w:rPr>
          <w:i/>
          <w:iCs/>
        </w:rPr>
        <w:t xml:space="preserve">entire</w:t>
      </w:r>
      <w:r>
        <w:t xml:space="preserve"> </w:t>
      </w:r>
      <w:r>
        <w:t xml:space="preserve">FY2025 EBITDA of</w:t>
      </w:r>
      <w:r>
        <w:t xml:space="preserve"> </w:t>
      </w:r>
      <m:oMath>
        <m:r>
          <m:t>3.26</m:t>
        </m:r>
        <m:r>
          <m:t>B</m:t>
        </m:r>
        <m:r>
          <m:t>i</m:t>
        </m:r>
        <m:r>
          <m:t>n</m:t>
        </m:r>
        <m:r>
          <m:t>a</m:t>
        </m:r>
        <m:r>
          <m:t>s</m:t>
        </m:r>
        <m:r>
          <m:t>i</m:t>
        </m:r>
        <m:r>
          <m:t>n</m:t>
        </m:r>
        <m:r>
          <m:t>g</m:t>
        </m:r>
        <m:r>
          <m:t>l</m:t>
        </m:r>
        <m:r>
          <m:t>e</m:t>
        </m:r>
        <m:r>
          <m:t>q</m:t>
        </m:r>
        <m:r>
          <m:t>u</m:t>
        </m:r>
        <m:r>
          <m:t>a</m:t>
        </m:r>
        <m:r>
          <m:t>r</m:t>
        </m:r>
        <m:r>
          <m:t>t</m:t>
        </m:r>
        <m:r>
          <m:t>e</m:t>
        </m:r>
        <m:r>
          <m:t>r</m:t>
        </m:r>
        <m:r>
          <m:rPr>
            <m:sty m:val="p"/>
          </m:rPr>
          <m:t>.</m:t>
        </m:r>
        <m:r>
          <m:t>F</m:t>
        </m:r>
        <m:r>
          <m:t>o</m:t>
        </m:r>
        <m:r>
          <m:t>r</m:t>
        </m:r>
        <m:r>
          <m:t>a</m:t>
        </m:r>
        <m:r>
          <m:t>c</m:t>
        </m:r>
        <m:r>
          <m:t>o</m:t>
        </m:r>
        <m:r>
          <m:t>m</m:t>
        </m:r>
        <m:r>
          <m:t>p</m:t>
        </m:r>
        <m:r>
          <m:t>a</m:t>
        </m:r>
        <m:r>
          <m:t>n</m:t>
        </m:r>
        <m:r>
          <m:t>y</m:t>
        </m:r>
        <m:r>
          <m:t>t</m:t>
        </m:r>
        <m:r>
          <m:t>h</m:t>
        </m:r>
        <m:r>
          <m:t>a</m:t>
        </m:r>
        <m:r>
          <m:t>t</m:t>
        </m:r>
        <m:r>
          <m:t>p</m:t>
        </m:r>
        <m:r>
          <m:t>o</m:t>
        </m:r>
        <m:r>
          <m:t>s</m:t>
        </m:r>
        <m:r>
          <m:t>t</m:t>
        </m:r>
        <m:r>
          <m:t>e</m:t>
        </m:r>
        <m:r>
          <m:t>d</m:t>
        </m:r>
        <m:r>
          <m:t>a</m:t>
        </m:r>
        <m:r>
          <m:rPr>
            <m:sty m:val="p"/>
          </m:rPr>
          <m:t>*</m:t>
        </m:r>
        <m:r>
          <m:rPr>
            <m:sty m:val="p"/>
          </m:rPr>
          <m:t>*</m:t>
        </m:r>
      </m:oMath>
      <w:r>
        <w:t xml:space="preserve">2.4B GAAP net loss and –$0.94 operating EPS in 2025**, that is a dramatic inflection, and it is entirely a function of the supply disruption.</w:t>
      </w:r>
    </w:p>
    <w:p>
      <w:r>
        <w:pict>
          <v:rect style="width:0;height:1.5pt" o:hralign="center" o:hrstd="t" o:hr="t"/>
        </w:pict>
      </w:r>
    </w:p>
    <w:bookmarkEnd w:id="11"/>
    <w:bookmarkStart w:id="12" w:name="Xf769763d13ff624015dbf9f15bf86bcb0f5da7c"/>
    <w:p>
      <w:pPr>
        <w:pStyle w:val="Heading2"/>
      </w:pPr>
      <w:r>
        <w:t xml:space="preserve">The core debate: is the pricing spike durable or a head-fake?</w:t>
      </w:r>
    </w:p>
    <w:p>
      <w:pPr>
        <w:pStyle w:val="FirstParagraph"/>
      </w:pPr>
      <w:r>
        <w:rPr>
          <w:b/>
          <w:bCs/>
        </w:rPr>
        <w:t xml:space="preserve">The bull case (management's view).</w:t>
      </w:r>
      <w:r>
        <w:t xml:space="preserve"> </w:t>
      </w:r>
      <w:r>
        <w:t xml:space="preserve">On the Q1 call, Dow described an unprecedented supply shock — the Strait of Hormuz closure taking roughly 20% of global oil capacity and ~half of global ethylene/polyethylene supply offline, constrained, or impacted. Polyethylene settlements moved fast: $0.05 in January,</w:t>
      </w:r>
      <w:r>
        <w:t xml:space="preserve"> </w:t>
      </w:r>
      <m:oMath>
        <m:r>
          <m:t>0.10</m:t>
        </m:r>
        <m:r>
          <m:t>i</m:t>
        </m:r>
        <m:r>
          <m:t>n</m:t>
        </m:r>
        <m:r>
          <m:t>M</m:t>
        </m:r>
        <m:r>
          <m:t>a</m:t>
        </m:r>
        <m:r>
          <m:t>r</m:t>
        </m:r>
        <m:r>
          <m:t>c</m:t>
        </m:r>
        <m:r>
          <m:t>h</m:t>
        </m:r>
        <m:r>
          <m:rPr>
            <m:sty m:val="p"/>
          </m:rPr>
          <m:t>,</m:t>
        </m:r>
        <m:r>
          <m:t>w</m:t>
        </m:r>
        <m:r>
          <m:t>i</m:t>
        </m:r>
        <m:r>
          <m:t>t</m:t>
        </m:r>
        <m:r>
          <m:t>h</m:t>
        </m:r>
        <m:r>
          <m:rPr>
            <m:sty m:val="p"/>
          </m:rPr>
          <m:t>*</m:t>
        </m:r>
        <m:r>
          <m:rPr>
            <m:sty m:val="p"/>
          </m:rPr>
          <m:t>*</m:t>
        </m:r>
      </m:oMath>
      <w:r>
        <w:t xml:space="preserve">0.30/lb announced for April and</w:t>
      </w:r>
      <w:r>
        <w:t xml:space="preserve"> </w:t>
      </w:r>
      <m:oMath>
        <m:r>
          <m:t>0.20</m:t>
        </m:r>
        <m:r>
          <m:rPr>
            <m:sty m:val="p"/>
          </m:rPr>
          <m:t>/</m:t>
        </m:r>
        <m:r>
          <m:t>l</m:t>
        </m:r>
        <m:r>
          <m:t>b</m:t>
        </m:r>
        <m:r>
          <m:t>f</m:t>
        </m:r>
        <m:r>
          <m:t>o</m:t>
        </m:r>
        <m:r>
          <m:t>r</m:t>
        </m:r>
        <m:r>
          <m:t>M</m:t>
        </m:r>
        <m:r>
          <m:t>a</m:t>
        </m:r>
        <m:r>
          <m:t>y</m:t>
        </m:r>
        <m:r>
          <m:rPr>
            <m:sty m:val="p"/>
          </m:rPr>
          <m:t>*</m:t>
        </m:r>
        <m:r>
          <m:rPr>
            <m:sty m:val="p"/>
          </m:rPr>
          <m:t>*</m:t>
        </m:r>
        <m:r>
          <m:rPr>
            <m:sty m:val="p"/>
          </m:rPr>
          <m:t>.</m:t>
        </m:r>
        <m:r>
          <m:t>M</m:t>
        </m:r>
        <m:r>
          <m:t>a</m:t>
        </m:r>
        <m:r>
          <m:t>n</m:t>
        </m:r>
        <m:r>
          <m:t>a</m:t>
        </m:r>
        <m:r>
          <m:t>g</m:t>
        </m:r>
        <m:r>
          <m:t>e</m:t>
        </m:r>
        <m:r>
          <m:t>m</m:t>
        </m:r>
        <m:r>
          <m:t>e</m:t>
        </m:r>
        <m:r>
          <m:t>n</m:t>
        </m:r>
        <m:r>
          <m:t>t</m:t>
        </m:r>
        <m:r>
          <m:t>b</m:t>
        </m:r>
        <m:r>
          <m:t>a</m:t>
        </m:r>
        <m:r>
          <m:t>k</m:t>
        </m:r>
        <m:r>
          <m:t>e</m:t>
        </m:r>
        <m:r>
          <m:t>d</m:t>
        </m:r>
        <m:r>
          <m:rPr>
            <m:sty m:val="p"/>
          </m:rPr>
          <m:t>*</m:t>
        </m:r>
        <m:r>
          <m:rPr>
            <m:sty m:val="p"/>
          </m:rPr>
          <m:t>*</m:t>
        </m:r>
      </m:oMath>
      <w:r>
        <w:t xml:space="preserve">0.26/lb of global integrated margin improvement into the $2B Q2 guide — and that figure includes only the April increase, not May**, which it flagged as upside. CEO-designate Karen Carter characterized the environment as "mid-cycle moving to peak," comparing the shock to 3x the magnitude of 2021's Winter Storm Uri, and estimated a 6–18 month recovery. Jim Fitterling's logistics modeling pointed to</w:t>
      </w:r>
      <w:r>
        <w:t xml:space="preserve"> </w:t>
      </w:r>
      <w:r>
        <w:rPr>
          <w:b/>
          <w:bCs/>
        </w:rPr>
        <w:t xml:space="preserve">275+ days</w:t>
      </w:r>
      <w:r>
        <w:t xml:space="preserve"> </w:t>
      </w:r>
      <w:r>
        <w:t xml:space="preserve">to unwind the Strait disruption.</w:t>
      </w:r>
    </w:p>
    <w:p>
      <w:pPr>
        <w:pStyle w:val="BodyText"/>
      </w:pPr>
      <w:r>
        <w:rPr>
          <w:b/>
          <w:bCs/>
        </w:rPr>
        <w:t xml:space="preserve">The bear case (the market's worry).</w:t>
      </w:r>
      <w:r>
        <w:t xml:space="preserve"> </w:t>
      </w:r>
      <w:r>
        <w:t xml:space="preserve">The pre-earnings digest is blunt: the stock has been trading as</w:t>
      </w:r>
      <w:r>
        <w:t xml:space="preserve"> </w:t>
      </w:r>
      <w:r>
        <w:rPr>
          <w:b/>
          <w:bCs/>
        </w:rPr>
        <w:t xml:space="preserve">an Iran-sentiment proxy</w:t>
      </w:r>
      <w:r>
        <w:t xml:space="preserve"> </w:t>
      </w:r>
      <w:r>
        <w:t xml:space="preserve">— rallying when tensions escalate, falling when détente looks likely — and investors "generally dislike the underlying business fundamentals." The risk is a V-shaped normalization: if the Strait reopens and Middle East capacity restarts, the cost-curve steepening reverses and spreads compress back toward the unsustainable multi-year lows Dow was earning at the start of 2026.</w:t>
      </w:r>
    </w:p>
    <w:p>
      <w:pPr>
        <w:pStyle w:val="BodyText"/>
      </w:pPr>
      <w:r>
        <w:rPr>
          <w:b/>
          <w:bCs/>
        </w:rPr>
        <w:t xml:space="preserve">Why the tape matters here.</w:t>
      </w:r>
      <w:r>
        <w:t xml:space="preserve"> </w:t>
      </w:r>
      <w:r>
        <w:t xml:space="preserve">DOW's price action tells the whole story:</w:t>
      </w:r>
    </w:p>
    <w:p>
      <w:pPr>
        <w:pStyle w:val="Compact"/>
        <w:numPr>
          <w:ilvl w:val="0"/>
          <w:numId w:val="1002"/>
        </w:numPr>
      </w:pPr>
      <w:r>
        <w:rPr>
          <w:b/>
          <w:bCs/>
        </w:rPr>
        <w:t xml:space="preserve">Jan 2:</w:t>
      </w:r>
      <w:r>
        <w:t xml:space="preserve"> </w:t>
      </w:r>
      <w:r>
        <w:t xml:space="preserve">$24.27 →</w:t>
      </w:r>
      <w:r>
        <w:t xml:space="preserve"> </w:t>
      </w:r>
      <w:r>
        <w:rPr>
          <w:b/>
          <w:bCs/>
        </w:rPr>
        <w:t xml:space="preserve">peak $41.87 (Mar 30)</w:t>
      </w:r>
      <w:r>
        <w:t xml:space="preserve"> </w:t>
      </w:r>
      <w:r>
        <w:t xml:space="preserve">as the conflict erupted (+73%)</w:t>
      </w:r>
    </w:p>
    <w:p>
      <w:pPr>
        <w:pStyle w:val="Compact"/>
        <w:numPr>
          <w:ilvl w:val="0"/>
          <w:numId w:val="1002"/>
        </w:numPr>
      </w:pPr>
      <w:r>
        <w:rPr>
          <w:b/>
          <w:bCs/>
        </w:rPr>
        <w:t xml:space="preserve">Slid to $27.02 (Jul 1)</w:t>
      </w:r>
      <w:r>
        <w:t xml:space="preserve"> </w:t>
      </w:r>
      <w:r>
        <w:t xml:space="preserve">on détente/ceasefire hopes (–35% from peak)</w:t>
      </w:r>
    </w:p>
    <w:p>
      <w:pPr>
        <w:pStyle w:val="Compact"/>
        <w:numPr>
          <w:ilvl w:val="0"/>
          <w:numId w:val="1002"/>
        </w:numPr>
      </w:pPr>
      <w:r>
        <w:rPr>
          <w:b/>
          <w:bCs/>
        </w:rPr>
        <w:t xml:space="preserve">Rebounded to $31.26 (Jul 22)</w:t>
      </w:r>
      <w:r>
        <w:t xml:space="preserve">, +16% in three weeks, as the conflict</w:t>
      </w:r>
      <w:r>
        <w:t xml:space="preserve"> </w:t>
      </w:r>
      <w:r>
        <w:rPr>
          <w:i/>
          <w:iCs/>
        </w:rPr>
        <w:t xml:space="preserve">re-escalated</w:t>
      </w:r>
    </w:p>
    <w:p>
      <w:pPr>
        <w:pStyle w:val="FirstParagraph"/>
      </w:pPr>
      <w:r>
        <w:t xml:space="preserve">That late rebound is corroborated by the macro backdrop into the print: renewed U.S. strikes on Iran, Brent crude spiking ~3–5% to ~$94–95/bbl, Strait of Hormuz transits down ~66% week-over-week, and tankers diverting.</w:t>
      </w:r>
      <w:r>
        <w:t xml:space="preserve"> </w:t>
      </w:r>
      <w:r>
        <w:rPr>
          <w:b/>
          <w:bCs/>
        </w:rPr>
        <w:t xml:space="preserve">In other words, the supply disruption thesis is very much live going into the report — arguably more live than it was in early July.</w:t>
      </w:r>
      <w:r>
        <w:t xml:space="preserve"> </w:t>
      </w:r>
      <w:r>
        <w:t xml:space="preserve">This raises the bar: the market may already be re-pricing another leg of tightness, so guidance tone will be decisive.</w:t>
      </w:r>
    </w:p>
    <w:p>
      <w:r>
        <w:pict>
          <v:rect style="width:0;height:1.5pt" o:hralign="center" o:hrstd="t" o:hr="t"/>
        </w:pict>
      </w:r>
    </w:p>
    <w:bookmarkEnd w:id="12"/>
    <w:bookmarkStart w:id="13" w:name="Xfad3020d98ae918b2389b67ecd75ef57b4faa77"/>
    <w:p>
      <w:pPr>
        <w:pStyle w:val="Heading2"/>
      </w:pPr>
      <w:r>
        <w:t xml:space="preserve">What actually matters on the call (watch list)</w:t>
      </w:r>
    </w:p>
    <w:p>
      <w:pPr>
        <w:pStyle w:val="FirstParagraph"/>
      </w:pPr>
      <w:r>
        <w:rPr>
          <w:b/>
          <w:bCs/>
        </w:rPr>
        <w:t xml:space="preserve">1. Q3 guidance and duration commentary.</w:t>
      </w:r>
      <w:r>
        <w:t xml:space="preserve"> </w:t>
      </w:r>
      <w:r>
        <w:t xml:space="preserve">The single most important variable. Does management extend/reaffirm the 6–18 month runway? With the conflict re-escalating and oil back near $95, look for Dow to lean into a steepening global cost curve and further pricing. Any hint of normalization would deflate the stock's core thesis.</w:t>
      </w:r>
    </w:p>
    <w:p>
      <w:pPr>
        <w:pStyle w:val="BodyText"/>
      </w:pPr>
      <w:r>
        <w:rPr>
          <w:b/>
          <w:bCs/>
        </w:rPr>
        <w:t xml:space="preserve">2. May price-increase realization.</w:t>
      </w:r>
      <w:r>
        <w:t xml:space="preserve"> </w:t>
      </w:r>
      <w:r>
        <w:t xml:space="preserve">The $0.20/lb May increase was explicitly</w:t>
      </w:r>
      <w:r>
        <w:t xml:space="preserve"> </w:t>
      </w:r>
      <w:r>
        <w:rPr>
          <w:i/>
          <w:iCs/>
        </w:rPr>
        <w:t xml:space="preserve">excluded</w:t>
      </w:r>
      <w:r>
        <w:t xml:space="preserve"> </w:t>
      </w:r>
      <w:r>
        <w:t xml:space="preserve">from the</w:t>
      </w:r>
      <w:r>
        <w:t xml:space="preserve"> </w:t>
      </w:r>
      <m:oMath>
        <m:r>
          <m:t>2</m:t>
        </m:r>
        <m:r>
          <m:t>B</m:t>
        </m:r>
        <m:r>
          <m:t>g</m:t>
        </m:r>
        <m:r>
          <m:t>u</m:t>
        </m:r>
        <m:r>
          <m:t>i</m:t>
        </m:r>
        <m:r>
          <m:t>d</m:t>
        </m:r>
        <m:r>
          <m:t>e</m:t>
        </m:r>
        <m:r>
          <m:rPr>
            <m:sty m:val="p"/>
          </m:rPr>
          <m:t>.</m:t>
        </m:r>
        <m:r>
          <m:t>R</m:t>
        </m:r>
        <m:r>
          <m:t>e</m:t>
        </m:r>
        <m:r>
          <m:t>a</m:t>
        </m:r>
        <m:r>
          <m:t>l</m:t>
        </m:r>
        <m:r>
          <m:t>i</m:t>
        </m:r>
        <m:r>
          <m:t>z</m:t>
        </m:r>
        <m:r>
          <m:t>a</m:t>
        </m:r>
        <m:r>
          <m:t>t</m:t>
        </m:r>
        <m:r>
          <m:t>i</m:t>
        </m:r>
        <m:r>
          <m:t>o</m:t>
        </m:r>
        <m:r>
          <m:t>n</m:t>
        </m:r>
        <m:r>
          <m:t>h</m:t>
        </m:r>
        <m:r>
          <m:t>e</m:t>
        </m:r>
        <m:r>
          <m:t>r</m:t>
        </m:r>
        <m:r>
          <m:t>e</m:t>
        </m:r>
        <m:r>
          <m:t>i</m:t>
        </m:r>
        <m:r>
          <m:t>s</m:t>
        </m:r>
        <m:r>
          <m:t>t</m:t>
        </m:r>
        <m:r>
          <m:t>h</m:t>
        </m:r>
        <m:r>
          <m:t>e</m:t>
        </m:r>
        <m:r>
          <m:t>b</m:t>
        </m:r>
        <m:r>
          <m:t>r</m:t>
        </m:r>
        <m:r>
          <m:t>i</m:t>
        </m:r>
        <m:r>
          <m:t>d</m:t>
        </m:r>
        <m:r>
          <m:t>g</m:t>
        </m:r>
        <m:r>
          <m:t>e</m:t>
        </m:r>
        <m:r>
          <m:t>t</m:t>
        </m:r>
        <m:r>
          <m:t>o</m:t>
        </m:r>
        <m:r>
          <m:rPr>
            <m:sty m:val="p"/>
          </m:rPr>
          <m:t>(</m:t>
        </m:r>
        <m:r>
          <m:t>a</m:t>
        </m:r>
        <m:r>
          <m:t>n</m:t>
        </m:r>
        <m:r>
          <m:t>d</m:t>
        </m:r>
        <m:r>
          <m:t>b</m:t>
        </m:r>
        <m:r>
          <m:t>e</m:t>
        </m:r>
        <m:r>
          <m:t>y</m:t>
        </m:r>
        <m:r>
          <m:t>o</m:t>
        </m:r>
        <m:r>
          <m:t>n</m:t>
        </m:r>
        <m:r>
          <m:t>d</m:t>
        </m:r>
        <m:r>
          <m:rPr>
            <m:sty m:val="p"/>
          </m:rPr>
          <m:t>)</m:t>
        </m:r>
        <m:r>
          <m:t>t</m:t>
        </m:r>
        <m:r>
          <m:t>h</m:t>
        </m:r>
        <m:r>
          <m:t>e</m:t>
        </m:r>
        <m:r>
          <m:t> </m:t>
        </m:r>
      </m:oMath>
      <w:r>
        <w:t xml:space="preserve">2.2B consensus and the read-through into Q3.</w:t>
      </w:r>
    </w:p>
    <w:p>
      <w:pPr>
        <w:pStyle w:val="BodyText"/>
      </w:pPr>
      <w:r>
        <w:rPr>
          <w:b/>
          <w:bCs/>
        </w:rPr>
        <w:t xml:space="preserve">3. Karen Carter's first call as CEO.</w:t>
      </w:r>
      <w:r>
        <w:t xml:space="preserve"> </w:t>
      </w:r>
      <w:r>
        <w:t xml:space="preserve">Carter took over July 1 (Fitterling to Executive Chair). Watch for any strategic recalibration — capital allocation, portfolio priorities, or how she frames "agility and resilience through the cycle." First-call-as-CEO tone tends to matter for multiple.</w:t>
      </w:r>
    </w:p>
    <w:p>
      <w:pPr>
        <w:pStyle w:val="BodyText"/>
      </w:pPr>
      <w:r>
        <w:rPr>
          <w:b/>
          <w:bCs/>
        </w:rPr>
        <w:t xml:space="preserve">4. Sadara restructuring.</w:t>
      </w:r>
      <w:r>
        <w:t xml:space="preserve"> </w:t>
      </w:r>
      <w:r>
        <w:t xml:space="preserve">Fitterling explicitly promised a</w:t>
      </w:r>
      <w:r>
        <w:t xml:space="preserve"> </w:t>
      </w:r>
      <w:r>
        <w:rPr>
          <w:b/>
          <w:bCs/>
        </w:rPr>
        <w:t xml:space="preserve">midyear update</w:t>
      </w:r>
      <w:r>
        <w:t xml:space="preserve"> </w:t>
      </w:r>
      <w:r>
        <w:t xml:space="preserve">on the Aramco negotiations. Dow suspended Sadara equity-loss recognition under GAAP in Q1 (cumulative losses hit the</w:t>
      </w:r>
      <w:r>
        <w:t xml:space="preserve"> </w:t>
      </w:r>
      <m:oMath>
        <m:r>
          <m:t>1.4</m:t>
        </m:r>
        <m:r>
          <m:t>B</m:t>
        </m:r>
        <m:r>
          <m:t>o</m:t>
        </m:r>
        <m:r>
          <m:t>b</m:t>
        </m:r>
        <m:r>
          <m:t>l</m:t>
        </m:r>
        <m:r>
          <m:t>i</m:t>
        </m:r>
        <m:r>
          <m:t>g</m:t>
        </m:r>
        <m:r>
          <m:t>a</m:t>
        </m:r>
        <m:r>
          <m:t>t</m:t>
        </m:r>
        <m:r>
          <m:t>i</m:t>
        </m:r>
        <m:r>
          <m:t>o</m:t>
        </m:r>
        <m:r>
          <m:t>n</m:t>
        </m:r>
        <m:r>
          <m:t>c</m:t>
        </m:r>
        <m:r>
          <m:t>a</m:t>
        </m:r>
        <m:r>
          <m:t>p</m:t>
        </m:r>
        <m:r>
          <m:rPr>
            <m:sty m:val="p"/>
          </m:rPr>
          <m:t>;</m:t>
        </m:r>
        <m:r>
          <m:t>c</m:t>
        </m:r>
        <m:r>
          <m:t>a</m:t>
        </m:r>
        <m:r>
          <m:t>s</m:t>
        </m:r>
        <m:r>
          <m:t>h</m:t>
        </m:r>
        <m:r>
          <m:t>c</m:t>
        </m:r>
        <m:r>
          <m:t>o</m:t>
        </m:r>
        <m:r>
          <m:t>m</m:t>
        </m:r>
        <m:r>
          <m:t>m</m:t>
        </m:r>
        <m:r>
          <m:t>i</m:t>
        </m:r>
        <m:r>
          <m:t>t</m:t>
        </m:r>
        <m:r>
          <m:t>m</m:t>
        </m:r>
        <m:r>
          <m:t>e</m:t>
        </m:r>
        <m:r>
          <m:t>n</m:t>
        </m:r>
        <m:r>
          <m:t>t</m:t>
        </m:r>
        <m:r>
          <m:t>s</m:t>
        </m:r>
        <m:r>
          <m:t> </m:t>
        </m:r>
      </m:oMath>
      <w:r>
        <w:t xml:space="preserve">100M/yr through 2038). Any progress on de-levering this JV would be a genuine positive; it's a "balance sheet / leverage" problem, not an operating one per management.</w:t>
      </w:r>
    </w:p>
    <w:p>
      <w:pPr>
        <w:pStyle w:val="BodyText"/>
      </w:pPr>
      <w:r>
        <w:rPr>
          <w:b/>
          <w:bCs/>
        </w:rPr>
        <w:t xml:space="preserve">5. Self-help pacing.</w:t>
      </w:r>
      <w:r>
        <w:t xml:space="preserve"> </w:t>
      </w:r>
      <w:r>
        <w:t xml:space="preserve">Dow expects</w:t>
      </w:r>
      <w:r>
        <w:t xml:space="preserve"> </w:t>
      </w:r>
      <w:r>
        <w:rPr>
          <w:b/>
          <w:bCs/>
        </w:rPr>
        <w:t xml:space="preserve">~</w:t>
      </w:r>
      <m:oMath>
        <m:r>
          <m:t>1.1</m:t>
        </m:r>
        <m:r>
          <m:t>B</m:t>
        </m:r>
        <m:r>
          <m:t>o</m:t>
        </m:r>
        <m:r>
          <m:t>f</m:t>
        </m:r>
        <m:r>
          <m:t>b</m:t>
        </m:r>
        <m:r>
          <m:t>e</m:t>
        </m:r>
        <m:r>
          <m:t>n</m:t>
        </m:r>
        <m:r>
          <m:t>e</m:t>
        </m:r>
        <m:r>
          <m:t>f</m:t>
        </m:r>
        <m:r>
          <m:t>i</m:t>
        </m:r>
        <m:r>
          <m:t>t</m:t>
        </m:r>
        <m:r>
          <m:t>s</m:t>
        </m:r>
        <m:r>
          <m:t>i</m:t>
        </m:r>
        <m:r>
          <m:t>n</m:t>
        </m:r>
        <m:r>
          <m:t>2026</m:t>
        </m:r>
        <m:r>
          <m:rPr>
            <m:sty m:val="p"/>
          </m:rPr>
          <m:t>*</m:t>
        </m:r>
        <m:r>
          <m:rPr>
            <m:sty m:val="p"/>
          </m:rPr>
          <m:t>*</m:t>
        </m:r>
        <m:r>
          <m:rPr>
            <m:sty m:val="p"/>
          </m:rPr>
          <m:t>(</m:t>
        </m:r>
      </m:oMath>
      <w:r>
        <w:rPr>
          <w:b/>
          <w:bCs/>
        </w:rPr>
        <w:t xml:space="preserve">600M remaining from the $1B cost program + $500M from "Transform to Outperform," which targets</w:t>
      </w:r>
      <w:r>
        <w:rPr>
          <w:b/>
          <w:bCs/>
        </w:rPr>
        <w:t xml:space="preserve"> </w:t>
      </w:r>
      <m:oMath>
        <m:r>
          <m:t>2</m:t>
        </m:r>
        <m:r>
          <m:t>B</m:t>
        </m:r>
        <m:r>
          <m:rPr>
            <m:sty m:val="p"/>
          </m:rPr>
          <m:t>+</m:t>
        </m:r>
        <m:r>
          <m:t>n</m:t>
        </m:r>
        <m:r>
          <m:t>e</m:t>
        </m:r>
        <m:r>
          <m:t>a</m:t>
        </m:r>
        <m:r>
          <m:t>r</m:t>
        </m:r>
        <m:r>
          <m:rPr>
            <m:sty m:val="p"/>
          </m:rPr>
          <m:t>−</m:t>
        </m:r>
        <m:r>
          <m:t>t</m:t>
        </m:r>
        <m:r>
          <m:t>e</m:t>
        </m:r>
        <m:r>
          <m:t>r</m:t>
        </m:r>
        <m:r>
          <m:t>m</m:t>
        </m:r>
        <m:r>
          <m:t>E</m:t>
        </m:r>
        <m:r>
          <m:t>B</m:t>
        </m:r>
        <m:r>
          <m:t>I</m:t>
        </m:r>
        <m:r>
          <m:t>T</m:t>
        </m:r>
        <m:r>
          <m:t>D</m:t>
        </m:r>
        <m:r>
          <m:t>A</m:t>
        </m:r>
        <m:r>
          <m:rPr>
            <m:sty m:val="p"/>
          </m:rPr>
          <m:t>)</m:t>
        </m:r>
        <m:r>
          <m:rPr>
            <m:sty m:val="p"/>
          </m:rPr>
          <m:t>.</m:t>
        </m:r>
        <m:r>
          <m:t>M</m:t>
        </m:r>
        <m:r>
          <m:t>a</m:t>
        </m:r>
        <m:r>
          <m:t>n</m:t>
        </m:r>
        <m:r>
          <m:t>a</m:t>
        </m:r>
        <m:r>
          <m:t>g</m:t>
        </m:r>
        <m:r>
          <m:t>e</m:t>
        </m:r>
        <m:r>
          <m:t>m</m:t>
        </m:r>
        <m:r>
          <m:t>e</m:t>
        </m:r>
        <m:r>
          <m:t>n</m:t>
        </m:r>
        <m:r>
          <m:t>t</m:t>
        </m:r>
        <m:r>
          <m:t>f</m:t>
        </m:r>
        <m:r>
          <m:t>l</m:t>
        </m:r>
        <m:r>
          <m:t>a</m:t>
        </m:r>
        <m:r>
          <m:t>g</m:t>
        </m:r>
        <m:r>
          <m:t>g</m:t>
        </m:r>
        <m:r>
          <m:t>e</m:t>
        </m:r>
        <m:r>
          <m:t>d</m:t>
        </m:r>
        <m:r>
          <m:t>a</m:t>
        </m:r>
        <m:r>
          <m:t>s</m:t>
        </m:r>
        <m:r>
          <m:t>h</m:t>
        </m:r>
        <m:r>
          <m:t>a</m:t>
        </m:r>
        <m:r>
          <m:t>r</m:t>
        </m:r>
        <m:r>
          <m:t>p</m:t>
        </m:r>
        <m:r>
          <m:rPr>
            <m:sty m:val="p"/>
          </m:rPr>
          <m:t>*</m:t>
        </m:r>
        <m:r>
          <m:rPr>
            <m:sty m:val="p"/>
          </m:rPr>
          <m:t>*</m:t>
        </m:r>
      </m:oMath>
      <w:r>
        <w:rPr>
          <w:b/>
          <w:bCs/>
        </w:rPr>
        <w:t xml:space="preserve">400M H2 ramp</w:t>
      </w:r>
      <w:r>
        <w:t xml:space="preserve"> </w:t>
      </w:r>
      <w:r>
        <w:t xml:space="preserve">— watch for early proof points (the first site transformation already identified ~$80M run-rate EBITDA).</w:t>
      </w:r>
    </w:p>
    <w:p>
      <w:pPr>
        <w:pStyle w:val="BodyText"/>
      </w:pPr>
      <w:r>
        <w:rPr>
          <w:b/>
          <w:bCs/>
        </w:rPr>
        <w:t xml:space="preserve">6. Equity-earnings headwinds.</w:t>
      </w:r>
      <w:r>
        <w:t xml:space="preserve"> </w:t>
      </w:r>
      <w:r>
        <w:t xml:space="preserve">Offsetting the PE tailwind: proactive Kuwait shutdowns, lower feedstock at Thai JVs, and the Sadara suspension. FY Sadara impact was guided to ~$400M. These mute the equity-income line even as spreads improve.</w:t>
      </w:r>
    </w:p>
    <w:p>
      <w:pPr>
        <w:pStyle w:val="BodyText"/>
      </w:pPr>
      <w:r>
        <w:rPr>
          <w:b/>
          <w:bCs/>
        </w:rPr>
        <w:t xml:space="preserve">7. The weak underbelly — building &amp; construction.</w:t>
      </w:r>
      <w:r>
        <w:t xml:space="preserve"> </w:t>
      </w:r>
      <w:r>
        <w:t xml:space="preserve">Polyurethanes &amp; Construction Chemicals (within II&amp;I) and Performance Materials &amp; Coatings remain pressured by soft housing/construction and rising propylene costs, which may</w:t>
      </w:r>
      <w:r>
        <w:t xml:space="preserve"> </w:t>
      </w:r>
      <w:r>
        <w:rPr>
          <w:i/>
          <w:iCs/>
        </w:rPr>
        <w:t xml:space="preserve">delay</w:t>
      </w:r>
      <w:r>
        <w:t xml:space="preserve"> </w:t>
      </w:r>
      <w:r>
        <w:t xml:space="preserve">the normal seasonal uplift. II&amp;I posted a</w:t>
      </w:r>
      <w:r>
        <w:t xml:space="preserve"> </w:t>
      </w:r>
      <w:r>
        <w:rPr>
          <w:b/>
          <w:bCs/>
        </w:rPr>
        <w:t xml:space="preserve">–$561M operating EBIT loss in FY2025</w:t>
      </w:r>
      <w:r>
        <w:t xml:space="preserve">. PE strength is doing the heavy lifting; the non-PE portfolio is still convalescing.</w:t>
      </w:r>
    </w:p>
    <w:p>
      <w:r>
        <w:pict>
          <v:rect style="width:0;height:1.5pt" o:hralign="center" o:hrstd="t" o:hr="t"/>
        </w:pict>
      </w:r>
    </w:p>
    <w:bookmarkEnd w:id="13"/>
    <w:bookmarkStart w:id="14" w:name="balance-sheet-cash-and-the-dividend"/>
    <w:p>
      <w:pPr>
        <w:pStyle w:val="Heading2"/>
      </w:pPr>
      <w:r>
        <w:t xml:space="preserve">Balance sheet, cash and the dividend</w:t>
      </w:r>
    </w:p>
    <w:p>
      <w:pPr>
        <w:pStyle w:val="Compact"/>
        <w:numPr>
          <w:ilvl w:val="0"/>
          <w:numId w:val="1003"/>
        </w:numPr>
      </w:pPr>
      <w:r>
        <w:rPr>
          <w:b/>
          <w:bCs/>
        </w:rPr>
        <w:t xml:space="preserve">Liquidity is not the issue:</w:t>
      </w:r>
      <w:r>
        <w:t xml:space="preserve"> </w:t>
      </w:r>
      <w:r>
        <w:t xml:space="preserve">~</w:t>
      </w:r>
      <m:oMath>
        <m:r>
          <m:t>4</m:t>
        </m:r>
        <m:r>
          <m:t>B</m:t>
        </m:r>
        <m:r>
          <m:rPr>
            <m:sty m:val="p"/>
          </m:rPr>
          <m:t>+</m:t>
        </m:r>
        <m:r>
          <m:t>c</m:t>
        </m:r>
        <m:r>
          <m:t>a</m:t>
        </m:r>
        <m:r>
          <m:t>s</m:t>
        </m:r>
        <m:r>
          <m:t>h</m:t>
        </m:r>
        <m:r>
          <m:t>a</m:t>
        </m:r>
        <m:r>
          <m:t>t</m:t>
        </m:r>
        <m:r>
          <m:t>Q</m:t>
        </m:r>
        <m:r>
          <m:t>1</m:t>
        </m:r>
        <m:r>
          <m:rPr>
            <m:sty m:val="p"/>
          </m:rPr>
          <m:t>,</m:t>
        </m:r>
        <m:r>
          <m:rPr>
            <m:sty m:val="p"/>
          </m:rPr>
          <m:t>*</m:t>
        </m:r>
        <m:r>
          <m:rPr>
            <m:sty m:val="p"/>
          </m:rPr>
          <m:t>*</m:t>
        </m:r>
        <m:r>
          <m:t> </m:t>
        </m:r>
      </m:oMath>
      <w:r>
        <w:t xml:space="preserve">14B total liquidity**, revolver renewed to 2030, and</w:t>
      </w:r>
      <w:r>
        <w:t xml:space="preserve"> </w:t>
      </w:r>
      <w:r>
        <w:rPr>
          <w:b/>
          <w:bCs/>
        </w:rPr>
        <w:t xml:space="preserve">no substantive debt maturities until 2029</w:t>
      </w:r>
      <w:r>
        <w:t xml:space="preserve">.</w:t>
      </w:r>
    </w:p>
    <w:p>
      <w:pPr>
        <w:pStyle w:val="Compact"/>
        <w:numPr>
          <w:ilvl w:val="0"/>
          <w:numId w:val="1003"/>
        </w:numPr>
      </w:pPr>
      <w:r>
        <w:rPr>
          <w:b/>
          <w:bCs/>
        </w:rPr>
        <w:t xml:space="preserve">But 2025 free cash flow was negative</w:t>
      </w:r>
      <w:r>
        <w:t xml:space="preserve"> </w:t>
      </w:r>
      <w:r>
        <w:t xml:space="preserve">(–</w:t>
      </w:r>
      <m:oMath>
        <m:r>
          <m:t>1.4</m:t>
        </m:r>
        <m:r>
          <m:t>B</m:t>
        </m:r>
        <m:r>
          <m:t>F</m:t>
        </m:r>
        <m:r>
          <m:t>Y</m:t>
        </m:r>
        <m:r>
          <m:t>2025</m:t>
        </m:r>
        <m:r>
          <m:rPr>
            <m:sty m:val="p"/>
          </m:rPr>
          <m:t>)</m:t>
        </m:r>
        <m:r>
          <m:rPr>
            <m:sty m:val="p"/>
          </m:rPr>
          <m:t>,</m:t>
        </m:r>
        <m:r>
          <m:t>a</m:t>
        </m:r>
        <m:r>
          <m:t>n</m:t>
        </m:r>
        <m:r>
          <m:t>d</m:t>
        </m:r>
        <m:r>
          <m:t>t</m:t>
        </m:r>
        <m:r>
          <m:t>h</m:t>
        </m:r>
        <m:r>
          <m:t>e</m:t>
        </m:r>
        <m:r>
          <m:t>y</m:t>
        </m:r>
        <m:r>
          <m:t>e</m:t>
        </m:r>
        <m:r>
          <m:t>a</m:t>
        </m:r>
        <m:r>
          <m:t>r</m:t>
        </m:r>
        <m:r>
          <m:t>l</m:t>
        </m:r>
        <m:r>
          <m:t>e</m:t>
        </m:r>
        <m:r>
          <m:t>a</m:t>
        </m:r>
        <m:r>
          <m:t>n</m:t>
        </m:r>
        <m:r>
          <m:t>e</m:t>
        </m:r>
        <m:r>
          <m:t>d</m:t>
        </m:r>
        <m:r>
          <m:t>o</m:t>
        </m:r>
        <m:r>
          <m:t>n</m:t>
        </m:r>
        <m:r>
          <m:t> </m:t>
        </m:r>
      </m:oMath>
      <w:r>
        <w:t xml:space="preserve">2.9B of proceeds from the DowInfraCo noncontrolling-interest sale.</w:t>
      </w:r>
    </w:p>
    <w:p>
      <w:pPr>
        <w:pStyle w:val="Compact"/>
        <w:numPr>
          <w:ilvl w:val="0"/>
          <w:numId w:val="1003"/>
        </w:numPr>
      </w:pPr>
      <w:r>
        <w:rPr>
          <w:b/>
          <w:bCs/>
        </w:rPr>
        <w:t xml:space="preserve">Dividend watch:</w:t>
      </w:r>
      <w:r>
        <w:t xml:space="preserve"> </w:t>
      </w:r>
      <w:r>
        <w:t xml:space="preserve">Dow paid</w:t>
      </w:r>
      <w:r>
        <w:t xml:space="preserve"> </w:t>
      </w:r>
      <m:oMath>
        <m:r>
          <m:t>1.5</m:t>
        </m:r>
        <m:r>
          <m:t>B</m:t>
        </m:r>
        <m:r>
          <m:t>i</m:t>
        </m:r>
        <m:r>
          <m:t>n</m:t>
        </m:r>
        <m:r>
          <m:t>d</m:t>
        </m:r>
        <m:r>
          <m:t>i</m:t>
        </m:r>
        <m:r>
          <m:t>v</m:t>
        </m:r>
        <m:r>
          <m:t>i</m:t>
        </m:r>
        <m:r>
          <m:t>d</m:t>
        </m:r>
        <m:r>
          <m:t>e</m:t>
        </m:r>
        <m:r>
          <m:t>n</m:t>
        </m:r>
        <m:r>
          <m:t>d</m:t>
        </m:r>
        <m:r>
          <m:t>s</m:t>
        </m:r>
        <m:r>
          <m:t>i</m:t>
        </m:r>
        <m:r>
          <m:t>n</m:t>
        </m:r>
        <m:r>
          <m:t>2025</m:t>
        </m:r>
        <m:r>
          <m:rPr>
            <m:sty m:val="p"/>
          </m:rPr>
          <m:t>(</m:t>
        </m:r>
        <m:r>
          <m:t>d</m:t>
        </m:r>
        <m:r>
          <m:t>o</m:t>
        </m:r>
        <m:r>
          <m:t>w</m:t>
        </m:r>
        <m:r>
          <m:t>n</m:t>
        </m:r>
        <m:r>
          <m:t>f</m:t>
        </m:r>
        <m:r>
          <m:t>r</m:t>
        </m:r>
        <m:r>
          <m:t>o</m:t>
        </m:r>
        <m:r>
          <m:t>m</m:t>
        </m:r>
        <m:r>
          <m:t> </m:t>
        </m:r>
      </m:oMath>
      <w:r>
        <w:t xml:space="preserve">2.0B in 2024, reflecting last year's cut) and</w:t>
      </w:r>
      <w:r>
        <w:t xml:space="preserve"> </w:t>
      </w:r>
      <w:r>
        <w:rPr>
          <w:b/>
          <w:bCs/>
        </w:rPr>
        <w:t xml:space="preserve">repurchased no stock</w:t>
      </w:r>
      <w:r>
        <w:t xml:space="preserve">. With an earnings inflection now underway, watch for commentary on cash-flow conversion improving and whether shareholder returns (dividend safety / potential buyback resumption) come back into the conversation. A ~$300M remaining NOVA litigation tax withholding is also expected later in 2026.</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This should be a visually massive quarter — potentially Dow's best EBITDA print in years — but the number is largely pre-announced and the disruption-driven upside is well understood.</w:t>
      </w:r>
      <w:r>
        <w:t xml:space="preserve"> </w:t>
      </w:r>
      <w:r>
        <w:rPr>
          <w:b/>
          <w:bCs/>
        </w:rPr>
        <w:t xml:space="preserve">The stock's reaction will hinge on three things: the Q3/second-half guide, May pricing realization, and duration commentary on the Middle East disruption.</w:t>
      </w:r>
      <w:r>
        <w:t xml:space="preserve"> </w:t>
      </w:r>
      <w:r>
        <w:t xml:space="preserve">With crude re-spiking and Hormuz traffic collapsing again just days before the print, the supply-tightness narrative has fresh legs — but that also makes DOW a high-beta bet on geopolitics rather than fundamentals. Layer in Carter's debut as CEO and a promised Sadara update, and this is a higher-variance-than-usual report. Position sizing should respect that the same conflict driving the earnings beat can reverse the thesis on a headline.</w:t>
      </w:r>
    </w:p>
    <w:p>
      <w:pPr>
        <w:pStyle w:val="BodyText"/>
      </w:pPr>
      <w:r>
        <w:rPr>
          <w:i/>
          <w:iCs/>
        </w:rPr>
        <w:t xml:space="preserve">Preview based on Dow's Q1 2026 earnings call (Apr 23, 2026), the Q4 2025 earnings release, pre-earnings news digests, and recent price action through July 22, 2026. Not investment advice.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2026-07-23T00:10:56Z</dcterms:created>
  <dcterms:modified xsi:type="dcterms:W3CDTF">2026-07-23T00:10:56Z</dcterms:modified>
</cp:coreProperties>
</file>

<file path=docProps/custom.xml><?xml version="1.0" encoding="utf-8"?>
<Properties xmlns="http://schemas.openxmlformats.org/officeDocument/2006/custom-properties" xmlns:vt="http://schemas.openxmlformats.org/officeDocument/2006/docPropsVTypes"/>
</file>