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dow-inc-dow--q2-2026-earnings-preview"/>
    <w:p>
      <w:pPr>
        <w:pStyle w:val="Heading1"/>
      </w:pPr>
      <w:r>
        <w:t xml:space="preserve">Dow Inc. (DOW) — Q2 2026 Earnings Preview</w:t>
      </w:r>
    </w:p>
    <w:p>
      <w:pPr>
        <w:pStyle w:val="FirstParagraph"/>
      </w:pPr>
      <w:r>
        <w:rPr>
          <w:b/>
          <w:bCs/>
        </w:rPr>
        <w:t xml:space="preserve">Report Date:</w:t>
      </w:r>
      <w:r>
        <w:t xml:space="preserve"> </w:t>
      </w:r>
      <w:r>
        <w:t xml:space="preserve">July 23,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X8790dc32fb6be6593494df554c2628e141bb361"/>
    <w:p>
      <w:pPr>
        <w:pStyle w:val="Heading2"/>
      </w:pPr>
      <w:r>
        <w:t xml:space="preserve">Setup: A Geopolitically-Driven Print Unlike Any in Recent Memory</w:t>
      </w:r>
    </w:p>
    <w:p>
      <w:pPr>
        <w:pStyle w:val="FirstParagraph"/>
      </w:pPr>
      <w:r>
        <w:t xml:space="preserve">This is arguably the most unusual earnings setup Dow has faced in years. Since March 2026, an escalating Middle East conflict has knocked roughly 20% of global oil capacity offline and disrupted an estimated half of global ethylene/polyethylene supply, primarily via the closure of the Strait of Hormuz. That shock flipped a chemicals industry that entered the year at multi-year cyclical lows into one with rapid, broad-based pricing power. Dow, with its outsized cost-advantaged footprint in the Americas, has been positioned as one of the biggest relative beneficiaries — and the stock has effectively become a geopolitical proxy, rallying on escalation and selling off when investors price in détente.</w:t>
      </w:r>
    </w:p>
    <w:p>
      <w:pPr>
        <w:pStyle w:val="BodyText"/>
      </w:pPr>
      <w:r>
        <w:t xml:space="preserve">That dynamic has been on full display in the days ahead of this print: after sliding from April/May highs near $40-42 to roughly $27 by early July on hopes of a US-Iran de-escalation, DOW shares have bounced back to the $30-31 range as the conflict has reignited — U.S. forces reportedly struck Iranian targets for an 11th straight night, Kuwait reported Iranian drone attacks, four U.S. soldiers were killed defending regional bases, tankers are rerouting away from the Red Sea/Gulf, and Brent crude has pushed back above $95/bbl. Heading into tomorrow's report, the tape suggests investors are once again leaning into the "tight supply/higher pricing" thesis rather than a quick normalization.</w:t>
      </w:r>
    </w:p>
    <w:p>
      <w:r>
        <w:pict>
          <v:rect style="width:0;height:1.5pt" o:hralign="center" o:hrstd="t" o:hr="t"/>
        </w:pict>
      </w:r>
    </w:p>
    <w:bookmarkEnd w:id="9"/>
    <w:bookmarkStart w:id="10" w:name="X223f82275284bcf981f24ae72d96762b39a7e0e"/>
    <w:p>
      <w:pPr>
        <w:pStyle w:val="Heading2"/>
      </w:pPr>
      <w:r>
        <w:t xml:space="preserve">What Happened Last Quarter (Q1 2026) — The Baseline</w:t>
      </w:r>
    </w:p>
    <w:p>
      <w:pPr>
        <w:pStyle w:val="FirstParagraph"/>
      </w:pPr>
      <w:r>
        <w:t xml:space="preserve">Dow's Q1 2026 results captured the early stages of the disruption:</w:t>
      </w:r>
    </w:p>
    <w:p>
      <w:pPr>
        <w:pStyle w:val="Compact"/>
        <w:numPr>
          <w:ilvl w:val="0"/>
          <w:numId w:val="1001"/>
        </w:numPr>
      </w:pPr>
      <w:r>
        <w:rPr>
          <w:b/>
          <w:bCs/>
        </w:rPr>
        <w:t xml:space="preserve">Net sales of $9.8 billion</w:t>
      </w:r>
      <w:r>
        <w:t xml:space="preserve">, down 6% year-over-year, with local price down 7% and volume down 2%, partially offset by a 3% favorable currency impact.</w:t>
      </w:r>
    </w:p>
    <w:p>
      <w:pPr>
        <w:pStyle w:val="Compact"/>
        <w:numPr>
          <w:ilvl w:val="0"/>
          <w:numId w:val="1001"/>
        </w:numPr>
      </w:pPr>
      <w:r>
        <w:rPr>
          <w:b/>
          <w:bCs/>
        </w:rPr>
        <w:t xml:space="preserve">Operating EBITDA of $873 million</w:t>
      </w:r>
      <w:r>
        <w:t xml:space="preserve">, with management citing roughly $193 million of realized period cost savings and 3% sequential volume growth.</w:t>
      </w:r>
    </w:p>
    <w:p>
      <w:pPr>
        <w:pStyle w:val="Compact"/>
        <w:numPr>
          <w:ilvl w:val="0"/>
          <w:numId w:val="1001"/>
        </w:numPr>
      </w:pPr>
      <w:r>
        <w:t xml:space="preserve">Order books were "solid" in January/February before a</w:t>
      </w:r>
      <w:r>
        <w:t xml:space="preserve"> </w:t>
      </w:r>
      <w:r>
        <w:rPr>
          <w:b/>
          <w:bCs/>
        </w:rPr>
        <w:t xml:space="preserve">sharp positive inflection in March</w:t>
      </w:r>
      <w:r>
        <w:t xml:space="preserve"> </w:t>
      </w:r>
      <w:r>
        <w:t xml:space="preserve">as the conflict began, with the company noting the largest February-to-March sequential sales gain in its history outside the Middle East.</w:t>
      </w:r>
    </w:p>
    <w:p>
      <w:pPr>
        <w:pStyle w:val="Compact"/>
        <w:numPr>
          <w:ilvl w:val="0"/>
          <w:numId w:val="1001"/>
        </w:numPr>
      </w:pPr>
      <w:r>
        <w:rPr>
          <w:b/>
          <w:bCs/>
        </w:rPr>
        <w:t xml:space="preserve">GAAP net loss widened</w:t>
      </w:r>
      <w:r>
        <w:t xml:space="preserve"> </w:t>
      </w:r>
      <w:r>
        <w:t xml:space="preserve">to</w:t>
      </w:r>
      <w:r>
        <w:t xml:space="preserve"> </w:t>
      </w:r>
      <m:oMath>
        <m:r>
          <m:t>533</m:t>
        </m:r>
        <m:r>
          <m:t>m</m:t>
        </m:r>
        <m:r>
          <m:t>i</m:t>
        </m:r>
        <m:r>
          <m:t>l</m:t>
        </m:r>
        <m:r>
          <m:t>l</m:t>
        </m:r>
        <m:r>
          <m:t>i</m:t>
        </m:r>
        <m:r>
          <m:t>o</m:t>
        </m:r>
        <m:r>
          <m:t>n</m:t>
        </m:r>
        <m:r>
          <m:rPr>
            <m:sty m:val="p"/>
          </m:rPr>
          <m:t>(</m:t>
        </m:r>
      </m:oMath>
      <w:r>
        <w:t xml:space="preserve">0.74/share) from a</w:t>
      </w:r>
      <w:r>
        <w:t xml:space="preserve"> </w:t>
      </w:r>
      <m:oMath>
        <m:r>
          <m:t>307</m:t>
        </m:r>
        <m:r>
          <m:t>m</m:t>
        </m:r>
        <m:r>
          <m:t>i</m:t>
        </m:r>
        <m:r>
          <m:t>l</m:t>
        </m:r>
        <m:r>
          <m:t>l</m:t>
        </m:r>
        <m:r>
          <m:t>i</m:t>
        </m:r>
        <m:r>
          <m:t>o</m:t>
        </m:r>
        <m:r>
          <m:t>n</m:t>
        </m:r>
        <m:r>
          <m:t>l</m:t>
        </m:r>
        <m:r>
          <m:t>o</m:t>
        </m:r>
        <m:r>
          <m:t>s</m:t>
        </m:r>
        <m:r>
          <m:t>s</m:t>
        </m:r>
        <m:r>
          <m:rPr>
            <m:sty m:val="p"/>
          </m:rPr>
          <m:t>(</m:t>
        </m:r>
      </m:oMath>
      <w:r>
        <w:t xml:space="preserve">0.44/share) in Q1 2025, driven largely by a $303 million equity-losses charge tied to a fair-value adjustment on Dow's guarantee of Sadara's project financing debt.</w:t>
      </w:r>
    </w:p>
    <w:p>
      <w:pPr>
        <w:pStyle w:val="Compact"/>
        <w:numPr>
          <w:ilvl w:val="0"/>
          <w:numId w:val="1001"/>
        </w:numPr>
      </w:pPr>
      <w:r>
        <w:t xml:space="preserve">Two credit rating agencies downgraded Dow during the quarter:</w:t>
      </w:r>
      <w:r>
        <w:t xml:space="preserve"> </w:t>
      </w:r>
      <w:r>
        <w:rPr>
          <w:b/>
          <w:bCs/>
        </w:rPr>
        <w:t xml:space="preserve">S&amp;P cut TDCC to BBB- (negative outlook)</w:t>
      </w:r>
      <w:r>
        <w:t xml:space="preserve"> </w:t>
      </w:r>
      <w:r>
        <w:t xml:space="preserve">and</w:t>
      </w:r>
      <w:r>
        <w:t xml:space="preserve"> </w:t>
      </w:r>
      <w:r>
        <w:rPr>
          <w:b/>
          <w:bCs/>
        </w:rPr>
        <w:t xml:space="preserve">Moody's cut to Baa3 (negative outlook)</w:t>
      </w:r>
      <w:r>
        <w:t xml:space="preserve">, while</w:t>
      </w:r>
      <w:r>
        <w:t xml:space="preserve"> </w:t>
      </w:r>
      <w:r>
        <w:rPr>
          <w:b/>
          <w:bCs/>
        </w:rPr>
        <w:t xml:space="preserve">Fitch affirmed BBB (stable)</w:t>
      </w:r>
      <w:r>
        <w:t xml:space="preserve">.</w:t>
      </w:r>
    </w:p>
    <w:bookmarkEnd w:id="10"/>
    <w:bookmarkStart w:id="11" w:name="X37fa7615d1acb75ddcd577fe54c894bdccfc260"/>
    <w:p>
      <w:pPr>
        <w:pStyle w:val="Heading2"/>
      </w:pPr>
      <w:r>
        <w:t xml:space="preserve">Q2 Guidance vs. What the Street Now Expects</w:t>
      </w:r>
    </w:p>
    <w:p>
      <w:pPr>
        <w:pStyle w:val="FirstParagraph"/>
      </w:pPr>
      <w:r>
        <w:t xml:space="preserve">On the April call, CFO Jeff Tate guided Q2 to</w:t>
      </w:r>
      <w:r>
        <w:t xml:space="preserve"> </w:t>
      </w:r>
      <w:r>
        <w:rPr>
          <w:b/>
          <w:bCs/>
        </w:rPr>
        <w:t xml:space="preserve">~</w:t>
      </w:r>
      <m:oMath>
        <m:r>
          <m:t>12</m:t>
        </m:r>
        <m:r>
          <m:t>b</m:t>
        </m:r>
        <m:r>
          <m:t>i</m:t>
        </m:r>
        <m:r>
          <m:t>l</m:t>
        </m:r>
        <m:r>
          <m:t>l</m:t>
        </m:r>
        <m:r>
          <m:t>i</m:t>
        </m:r>
        <m:r>
          <m:t>o</m:t>
        </m:r>
        <m:r>
          <m:t>n</m:t>
        </m:r>
        <m:r>
          <m:t>o</m:t>
        </m:r>
        <m:r>
          <m:t>f</m:t>
        </m:r>
        <m:r>
          <m:t>r</m:t>
        </m:r>
        <m:r>
          <m:t>e</m:t>
        </m:r>
        <m:r>
          <m:t>v</m:t>
        </m:r>
        <m:r>
          <m:t>e</m:t>
        </m:r>
        <m:r>
          <m:t>n</m:t>
        </m:r>
        <m:r>
          <m:t>u</m:t>
        </m:r>
        <m:r>
          <m:t>e</m:t>
        </m:r>
        <m:r>
          <m:t>a</m:t>
        </m:r>
        <m:r>
          <m:t>n</m:t>
        </m:r>
        <m:r>
          <m:t>d</m:t>
        </m:r>
        <m:r>
          <m:t> </m:t>
        </m:r>
      </m:oMath>
      <w:r>
        <w:rPr>
          <w:b/>
          <w:bCs/>
        </w:rPr>
        <w:t xml:space="preserve">2 billion of Operating EBITDA</w:t>
      </w:r>
      <w:r>
        <w:t xml:space="preserve">, driven by pricing gains, improved utilization, seasonal demand, and cost actions outweighing higher feedstock/energy costs and planned maintenance. Management explicitly said this guide baked in only $0.26/lb of global integrated-margin improvement, capturing the April polyethylene price increase but</w:t>
      </w:r>
      <w:r>
        <w:t xml:space="preserve"> </w:t>
      </w:r>
      <w:r>
        <w:rPr>
          <w:b/>
          <w:bCs/>
        </w:rPr>
        <w:t xml:space="preserve">not</w:t>
      </w:r>
      <w:r>
        <w:t xml:space="preserve"> </w:t>
      </w:r>
      <w:r>
        <w:t xml:space="preserve">the additional $0.20/lb May increase — which they flagged as pure upside to the guide. COO (now CEO) Karen Carter characterized the pricing trajectory as moving from mid-cycle toward peak levels, given a supply shock roughly three times the magnitude of the 2021 Winter Storm Uri disruption.</w:t>
      </w:r>
    </w:p>
    <w:p>
      <w:pPr>
        <w:pStyle w:val="BodyText"/>
      </w:pPr>
      <w:r>
        <w:t xml:space="preserve">Consensus now sits at</w:t>
      </w:r>
      <w:r>
        <w:t xml:space="preserve"> </w:t>
      </w:r>
      <w:r>
        <w:rPr>
          <w:b/>
          <w:bCs/>
        </w:rPr>
        <w:t xml:space="preserve">~</w:t>
      </w:r>
      <m:oMath>
        <m:r>
          <m:t>11.95</m:t>
        </m:r>
        <m:r>
          <m:t>b</m:t>
        </m:r>
        <m:r>
          <m:t>i</m:t>
        </m:r>
        <m:r>
          <m:t>l</m:t>
        </m:r>
        <m:r>
          <m:t>l</m:t>
        </m:r>
        <m:r>
          <m:t>i</m:t>
        </m:r>
        <m:r>
          <m:t>o</m:t>
        </m:r>
        <m:r>
          <m:t>n</m:t>
        </m:r>
        <m:r>
          <m:t>o</m:t>
        </m:r>
        <m:r>
          <m:t>f</m:t>
        </m:r>
        <m:r>
          <m:t>r</m:t>
        </m:r>
        <m:r>
          <m:t>e</m:t>
        </m:r>
        <m:r>
          <m:t>v</m:t>
        </m:r>
        <m:r>
          <m:t>e</m:t>
        </m:r>
        <m:r>
          <m:t>n</m:t>
        </m:r>
        <m:r>
          <m:t>u</m:t>
        </m:r>
        <m:r>
          <m:t>e</m:t>
        </m:r>
        <m:r>
          <m:rPr>
            <m:sty m:val="p"/>
          </m:rPr>
          <m:t>,</m:t>
        </m:r>
        <m:r>
          <m:t> </m:t>
        </m:r>
      </m:oMath>
      <w:r>
        <w:rPr>
          <w:b/>
          <w:bCs/>
        </w:rPr>
        <w:t xml:space="preserve">2.2 billion of EBITDA, and ~$1.26 in EPS</w:t>
      </w:r>
      <w:r>
        <w:t xml:space="preserve"> </w:t>
      </w:r>
      <w:r>
        <w:t xml:space="preserve">— modestly ahead of the company's own EBITDA guide, consistent with the idea that sell-side models are capturing incremental pricing actions layered on through Q2 (and possibly into Q3) beyond what management explicitly guided in April.</w:t>
      </w:r>
    </w:p>
    <w:p>
      <w:r>
        <w:pict>
          <v:rect style="width:0;height:1.5pt" o:hralign="center" o:hrstd="t" o:hr="t"/>
        </w:pict>
      </w:r>
    </w:p>
    <w:bookmarkEnd w:id="11"/>
    <w:bookmarkStart w:id="12" w:name="key-things-to-watch-on-the-call"/>
    <w:p>
      <w:pPr>
        <w:pStyle w:val="Heading2"/>
      </w:pPr>
      <w:r>
        <w:t xml:space="preserve">Key Things to Watch on the Call</w:t>
      </w:r>
    </w:p>
    <w:p>
      <w:pPr>
        <w:pStyle w:val="FirstParagraph"/>
      </w:pPr>
      <w:r>
        <w:rPr>
          <w:b/>
          <w:bCs/>
        </w:rPr>
        <w:t xml:space="preserve">1. Pricing realization and durability.</w:t>
      </w:r>
      <w:r>
        <w:t xml:space="preserve"> </w:t>
      </w:r>
      <w:r>
        <w:t xml:space="preserve">The central question is how much of the announced $0.30/lb (April) and $0.20/lb (May) polyethylene increases actually stuck, whether additional increases were pushed through in June/July, and — most importantly — management's updated view on how long the supply disruption (and thus pricing power) persists. On the Q1 call, Jim Fitterling cited an internal estimate of 275+ days for logistics to normalize once the Strait reopens, while Karen Carter framed the broader recovery window at 6-18 months. Given the conflict has clearly</w:t>
      </w:r>
      <w:r>
        <w:t xml:space="preserve"> </w:t>
      </w:r>
      <w:r>
        <w:rPr>
          <w:i/>
          <w:iCs/>
        </w:rPr>
        <w:t xml:space="preserve">not</w:t>
      </w:r>
      <w:r>
        <w:t xml:space="preserve"> </w:t>
      </w:r>
      <w:r>
        <w:t xml:space="preserve">de-escalated as of mid-July (renewed strikes, tanker reroutes, a collapsed truce), watch for whether management extends that timeline further — which would be incrementally bullish for near-term margins but raises the stakes for how sustainable this earnings level is on the other side.</w:t>
      </w:r>
    </w:p>
    <w:p>
      <w:pPr>
        <w:pStyle w:val="BodyText"/>
      </w:pPr>
      <w:r>
        <w:rPr>
          <w:b/>
          <w:bCs/>
        </w:rPr>
        <w:t xml:space="preserve">2. Packaging &amp; Specialty Plastics margin capture.</w:t>
      </w:r>
      <w:r>
        <w:t xml:space="preserve"> </w:t>
      </w:r>
      <w:r>
        <w:t xml:space="preserve">P&amp;SP is the largest segment and the most exposed to the pricing upswing (net sales of $4.9 billion in Q1, ~80% of product sales going into resilient end markets like packaging and health/hygiene). Analysts have specifically probed whether the segment's implied Q2 EBITDA run-rate represents mid-cycle or approaches peak/2021-Uri-like conditions — a distinction that matters greatly for how the stock should be valued today.</w:t>
      </w:r>
    </w:p>
    <w:p>
      <w:pPr>
        <w:pStyle w:val="BodyText"/>
      </w:pPr>
      <w:r>
        <w:rPr>
          <w:b/>
          <w:bCs/>
        </w:rPr>
        <w:t xml:space="preserve">3. Transform to Outperform progress.</w:t>
      </w:r>
      <w:r>
        <w:t xml:space="preserve"> </w:t>
      </w:r>
      <w:r>
        <w:t xml:space="preserve">Management's self-help program targets at least $2 billion of near-term EBITDA improvement (two-thirds productivity, one-third growth), with</w:t>
      </w:r>
      <w:r>
        <w:t xml:space="preserve"> </w:t>
      </w:r>
      <m:oMath>
        <m:r>
          <m:t>1.1</m:t>
        </m:r>
        <m:r>
          <m:t>b</m:t>
        </m:r>
        <m:r>
          <m:t>i</m:t>
        </m:r>
        <m:r>
          <m:t>l</m:t>
        </m:r>
        <m:r>
          <m:t>l</m:t>
        </m:r>
        <m:r>
          <m:t>i</m:t>
        </m:r>
        <m:r>
          <m:t>o</m:t>
        </m:r>
        <m:r>
          <m:t>n</m:t>
        </m:r>
        <m:r>
          <m:t>o</m:t>
        </m:r>
        <m:r>
          <m:t>f</m:t>
        </m:r>
        <m:r>
          <m:t>t</m:t>
        </m:r>
        <m:r>
          <m:t>o</m:t>
        </m:r>
        <m:r>
          <m:t>t</m:t>
        </m:r>
        <m:r>
          <m:t>a</m:t>
        </m:r>
        <m:r>
          <m:t>l</m:t>
        </m:r>
        <m:r>
          <m:t>s</m:t>
        </m:r>
        <m:r>
          <m:t>e</m:t>
        </m:r>
        <m:r>
          <m:t>l</m:t>
        </m:r>
        <m:r>
          <m:t>f</m:t>
        </m:r>
        <m:r>
          <m:rPr>
            <m:sty m:val="p"/>
          </m:rPr>
          <m:t>−</m:t>
        </m:r>
        <m:r>
          <m:t>h</m:t>
        </m:r>
        <m:r>
          <m:t>e</m:t>
        </m:r>
        <m:r>
          <m:t>l</m:t>
        </m:r>
        <m:r>
          <m:t>p</m:t>
        </m:r>
        <m:r>
          <m:t>b</m:t>
        </m:r>
        <m:r>
          <m:t>e</m:t>
        </m:r>
        <m:r>
          <m:t>n</m:t>
        </m:r>
        <m:r>
          <m:t>e</m:t>
        </m:r>
        <m:r>
          <m:t>f</m:t>
        </m:r>
        <m:r>
          <m:t>i</m:t>
        </m:r>
        <m:r>
          <m:t>t</m:t>
        </m:r>
        <m:r>
          <m:t>e</m:t>
        </m:r>
        <m:r>
          <m:t>x</m:t>
        </m:r>
        <m:r>
          <m:t>p</m:t>
        </m:r>
        <m:r>
          <m:t>e</m:t>
        </m:r>
        <m:r>
          <m:t>c</m:t>
        </m:r>
        <m:r>
          <m:t>t</m:t>
        </m:r>
        <m:r>
          <m:t>e</m:t>
        </m:r>
        <m:r>
          <m:t>d</m:t>
        </m:r>
        <m:r>
          <m:t>i</m:t>
        </m:r>
        <m:r>
          <m:t>n</m:t>
        </m:r>
        <m:r>
          <m:t>2026</m:t>
        </m:r>
        <m:r>
          <m:rPr>
            <m:sty m:val="p"/>
          </m:rPr>
          <m:t>(</m:t>
        </m:r>
      </m:oMath>
      <w:r>
        <w:t xml:space="preserve">600 million carryover from the 2025 program plus $500 million of new Transform to Outperform gains). Management guided for this to "ramp sharply to $400 million in the second half of the year" — so Q2 should show only the early stages of that ramp. Watch for concrete site-level proof points beyond the initial $80 million run-rate example cited in Q1.</w:t>
      </w:r>
    </w:p>
    <w:p>
      <w:pPr>
        <w:pStyle w:val="BodyText"/>
      </w:pPr>
      <w:r>
        <w:rPr>
          <w:b/>
          <w:bCs/>
        </w:rPr>
        <w:t xml:space="preserve">4. Sadara restructuring update.</w:t>
      </w:r>
      <w:r>
        <w:t xml:space="preserve"> </w:t>
      </w:r>
      <w:r>
        <w:t xml:space="preserve">Dow suspended recognition of further Sadara equity losses in Q1 after cumulative losses reached $1.4 billion (matching its</w:t>
      </w:r>
      <w:r>
        <w:t xml:space="preserve"> </w:t>
      </w:r>
      <m:oMath>
        <m:r>
          <m:t>1.2</m:t>
        </m:r>
        <m:r>
          <m:t>b</m:t>
        </m:r>
        <m:r>
          <m:t>i</m:t>
        </m:r>
        <m:r>
          <m:t>l</m:t>
        </m:r>
        <m:r>
          <m:t>l</m:t>
        </m:r>
        <m:r>
          <m:t>i</m:t>
        </m:r>
        <m:r>
          <m:t>o</m:t>
        </m:r>
        <m:r>
          <m:t>n</m:t>
        </m:r>
        <m:r>
          <m:t>d</m:t>
        </m:r>
        <m:r>
          <m:t>e</m:t>
        </m:r>
        <m:r>
          <m:t>b</m:t>
        </m:r>
        <m:r>
          <m:t>t</m:t>
        </m:r>
        <m:r>
          <m:t>g</m:t>
        </m:r>
        <m:r>
          <m:t>u</m:t>
        </m:r>
        <m:r>
          <m:t>a</m:t>
        </m:r>
        <m:r>
          <m:t>r</m:t>
        </m:r>
        <m:r>
          <m:t>a</m:t>
        </m:r>
        <m:r>
          <m:t>n</m:t>
        </m:r>
        <m:r>
          <m:t>t</m:t>
        </m:r>
        <m:r>
          <m:t>e</m:t>
        </m:r>
        <m:r>
          <m:t>e</m:t>
        </m:r>
        <m:r>
          <m:t>p</m:t>
        </m:r>
        <m:r>
          <m:t>l</m:t>
        </m:r>
        <m:r>
          <m:t>u</m:t>
        </m:r>
        <m:r>
          <m:t>s</m:t>
        </m:r>
        <m:r>
          <m:t> </m:t>
        </m:r>
      </m:oMath>
      <w:r>
        <w:t xml:space="preserve">200 million of RCF/letter-of-credit exposure), and guided to a roughly $400 million full-year equity-earnings headwind from Sadara. Fitterling explicitly promised a "midyear" update on Aramco restructuring negotiations — that update is due on this call.</w:t>
      </w:r>
    </w:p>
    <w:p>
      <w:pPr>
        <w:pStyle w:val="BodyText"/>
      </w:pPr>
      <w:r>
        <w:rPr>
          <w:b/>
          <w:bCs/>
        </w:rPr>
        <w:t xml:space="preserve">5. Leadership transition.</w:t>
      </w:r>
      <w:r>
        <w:t xml:space="preserve"> </w:t>
      </w:r>
      <w:r>
        <w:t xml:space="preserve">This is Karen Carter's first quarterly report as CEO (effective July 1, 2026, succeeding Jim Fitterling, who moves to Executive Chair). Watch for any strategic tone shifts, even though management emphasized continuity through a multi-year succession process.</w:t>
      </w:r>
    </w:p>
    <w:p>
      <w:pPr>
        <w:pStyle w:val="BodyText"/>
      </w:pPr>
      <w:r>
        <w:rPr>
          <w:b/>
          <w:bCs/>
        </w:rPr>
        <w:t xml:space="preserve">6. Balance sheet and capital allocation.</w:t>
      </w:r>
      <w:r>
        <w:t xml:space="preserve"> </w:t>
      </w:r>
      <w:r>
        <w:t xml:space="preserve">Dow entered Q2 with $4.1 billion of cash and $13.7 billion of total liquidity, no substantive debt maturities until 2029, and free cash flow of</w:t>
      </w:r>
      <w:r>
        <w:t xml:space="preserve"> </w:t>
      </w:r>
      <m:oMath>
        <m:r>
          <m:t>621</m:t>
        </m:r>
        <m:r>
          <m:t>m</m:t>
        </m:r>
        <m:r>
          <m:t>i</m:t>
        </m:r>
        <m:r>
          <m:t>l</m:t>
        </m:r>
        <m:r>
          <m:t>l</m:t>
        </m:r>
        <m:r>
          <m:t>i</m:t>
        </m:r>
        <m:r>
          <m:t>o</m:t>
        </m:r>
        <m:r>
          <m:t>n</m:t>
        </m:r>
        <m:r>
          <m:t>i</m:t>
        </m:r>
        <m:r>
          <m:t>n</m:t>
        </m:r>
        <m:r>
          <m:t>Q</m:t>
        </m:r>
        <m:r>
          <m:t>1</m:t>
        </m:r>
        <m:r>
          <m:rPr>
            <m:sty m:val="p"/>
          </m:rPr>
          <m:t>(</m:t>
        </m:r>
        <m:r>
          <m:t>a</m:t>
        </m:r>
        <m:r>
          <m:t>i</m:t>
        </m:r>
        <m:r>
          <m:t>d</m:t>
        </m:r>
        <m:r>
          <m:t>e</m:t>
        </m:r>
        <m:r>
          <m:t>d</m:t>
        </m:r>
        <m:r>
          <m:t>b</m:t>
        </m:r>
        <m:r>
          <m:t>y</m:t>
        </m:r>
        <m:r>
          <m:t>a</m:t>
        </m:r>
        <m:r>
          <m:t> </m:t>
        </m:r>
      </m:oMath>
      <w:r>
        <w:t xml:space="preserve">1.0 billion Nova litigation cash receipt, with roughly</w:t>
      </w:r>
      <w:r>
        <w:t xml:space="preserve"> </w:t>
      </w:r>
      <m:oMath>
        <m:r>
          <m:t>300</m:t>
        </m:r>
        <m:r>
          <m:t>m</m:t>
        </m:r>
        <m:r>
          <m:t>i</m:t>
        </m:r>
        <m:r>
          <m:t>l</m:t>
        </m:r>
        <m:r>
          <m:t>l</m:t>
        </m:r>
        <m:r>
          <m:t>i</m:t>
        </m:r>
        <m:r>
          <m:t>o</m:t>
        </m:r>
        <m:r>
          <m:t>n</m:t>
        </m:r>
        <m:r>
          <m:t>m</m:t>
        </m:r>
        <m:r>
          <m:t>o</m:t>
        </m:r>
        <m:r>
          <m:t>r</m:t>
        </m:r>
        <m:r>
          <m:t>e</m:t>
        </m:r>
        <m:r>
          <m:t>e</m:t>
        </m:r>
        <m:r>
          <m:t>x</m:t>
        </m:r>
        <m:r>
          <m:t>p</m:t>
        </m:r>
        <m:r>
          <m:t>e</m:t>
        </m:r>
        <m:r>
          <m:t>c</m:t>
        </m:r>
        <m:r>
          <m:t>t</m:t>
        </m:r>
        <m:r>
          <m:t>e</m:t>
        </m:r>
        <m:r>
          <m:t>d</m:t>
        </m:r>
        <m:r>
          <m:t>l</m:t>
        </m:r>
        <m:r>
          <m:t>a</m:t>
        </m:r>
        <m:r>
          <m:t>t</m:t>
        </m:r>
        <m:r>
          <m:t>e</m:t>
        </m:r>
        <m:r>
          <m:t>r</m:t>
        </m:r>
        <m:r>
          <m:t>i</m:t>
        </m:r>
        <m:r>
          <m:t>n</m:t>
        </m:r>
        <m:r>
          <m:t>2026</m:t>
        </m:r>
        <m:r>
          <m:rPr>
            <m:sty m:val="p"/>
          </m:rPr>
          <m:t>)</m:t>
        </m:r>
        <m:r>
          <m:rPr>
            <m:sty m:val="p"/>
          </m:rPr>
          <m:t>.</m:t>
        </m:r>
        <m:r>
          <m:t>F</m:t>
        </m:r>
        <m:r>
          <m:t>u</m:t>
        </m:r>
        <m:r>
          <m:t>l</m:t>
        </m:r>
        <m:r>
          <m:t>l</m:t>
        </m:r>
        <m:r>
          <m:rPr>
            <m:sty m:val="p"/>
          </m:rPr>
          <m:t>−</m:t>
        </m:r>
        <m:r>
          <m:t>y</m:t>
        </m:r>
        <m:r>
          <m:t>e</m:t>
        </m:r>
        <m:r>
          <m:t>a</m:t>
        </m:r>
        <m:r>
          <m:t>r</m:t>
        </m:r>
        <m:r>
          <m:t>c</m:t>
        </m:r>
        <m:r>
          <m:t>a</m:t>
        </m:r>
        <m:r>
          <m:t>p</m:t>
        </m:r>
        <m:r>
          <m:t>e</m:t>
        </m:r>
        <m:r>
          <m:t>x</m:t>
        </m:r>
        <m:r>
          <m:t>g</m:t>
        </m:r>
        <m:r>
          <m:t>u</m:t>
        </m:r>
        <m:r>
          <m:t>i</m:t>
        </m:r>
        <m:r>
          <m:t>d</m:t>
        </m:r>
        <m:r>
          <m:t>a</m:t>
        </m:r>
        <m:r>
          <m:t>n</m:t>
        </m:r>
        <m:r>
          <m:t>c</m:t>
        </m:r>
        <m:r>
          <m:t>e</m:t>
        </m:r>
        <m:r>
          <m:t>i</m:t>
        </m:r>
        <m:r>
          <m:t>s</m:t>
        </m:r>
        <m:r>
          <m:t> </m:t>
        </m:r>
      </m:oMath>
      <w:r>
        <w:t xml:space="preserve">2.5 billion, including the Fort Saskatchewan (Alberta) Path2Zero project. The Board declared a</w:t>
      </w:r>
      <w:r>
        <w:t xml:space="preserve"> </w:t>
      </w:r>
      <m:oMath>
        <m:r>
          <m:t>0.35</m:t>
        </m:r>
        <m:r>
          <m:rPr>
            <m:sty m:val="p"/>
          </m:rPr>
          <m:t>/</m:t>
        </m:r>
        <m:r>
          <m:t>s</m:t>
        </m:r>
        <m:r>
          <m:t>h</m:t>
        </m:r>
        <m:r>
          <m:t>a</m:t>
        </m:r>
        <m:r>
          <m:t>r</m:t>
        </m:r>
        <m:r>
          <m:t>e</m:t>
        </m:r>
        <m:r>
          <m:t>d</m:t>
        </m:r>
        <m:r>
          <m:t>i</m:t>
        </m:r>
        <m:r>
          <m:t>v</m:t>
        </m:r>
        <m:r>
          <m:t>i</m:t>
        </m:r>
        <m:r>
          <m:t>d</m:t>
        </m:r>
        <m:r>
          <m:t>e</m:t>
        </m:r>
        <m:r>
          <m:t>n</m:t>
        </m:r>
        <m:r>
          <m:t>d</m:t>
        </m:r>
        <m:r>
          <m:t>i</m:t>
        </m:r>
        <m:r>
          <m:t>n</m:t>
        </m:r>
        <m:r>
          <m:t>A</m:t>
        </m:r>
        <m:r>
          <m:t>p</m:t>
        </m:r>
        <m:r>
          <m:t>r</m:t>
        </m:r>
        <m:r>
          <m:t>i</m:t>
        </m:r>
        <m:r>
          <m:t>l</m:t>
        </m:r>
        <m:r>
          <m:rPr>
            <m:sty m:val="p"/>
          </m:rPr>
          <m:t>—</m:t>
        </m:r>
        <m:r>
          <m:t>t</m:t>
        </m:r>
        <m:r>
          <m:t>h</m:t>
        </m:r>
        <m:r>
          <m:t>e</m:t>
        </m:r>
        <m:r>
          <m:t>c</m:t>
        </m:r>
        <m:r>
          <m:t>o</m:t>
        </m:r>
        <m:r>
          <m:t>m</m:t>
        </m:r>
        <m:r>
          <m:t>p</m:t>
        </m:r>
        <m:r>
          <m:t>a</m:t>
        </m:r>
        <m:r>
          <m:t>n</m:t>
        </m:r>
        <m:sSup>
          <m:e>
            <m:r>
              <m:t>y</m:t>
            </m:r>
          </m:e>
          <m:sup>
            <m:r>
              <m:rPr>
                <m:sty m:val="p"/>
              </m:rPr>
              <m:t>′</m:t>
            </m:r>
          </m:sup>
        </m:sSup>
        <m:r>
          <m:t>s</m:t>
        </m:r>
        <m:r>
          <m:t>459</m:t>
        </m:r>
        <m:r>
          <m:t>t</m:t>
        </m:r>
        <m:r>
          <m:t>h</m:t>
        </m:r>
        <m:r>
          <m:t>c</m:t>
        </m:r>
        <m:r>
          <m:t>o</m:t>
        </m:r>
        <m:r>
          <m:t>n</m:t>
        </m:r>
        <m:r>
          <m:t>s</m:t>
        </m:r>
        <m:r>
          <m:t>e</m:t>
        </m:r>
        <m:r>
          <m:t>c</m:t>
        </m:r>
        <m:r>
          <m:t>u</m:t>
        </m:r>
        <m:r>
          <m:t>t</m:t>
        </m:r>
        <m:r>
          <m:t>i</m:t>
        </m:r>
        <m:r>
          <m:t>v</m:t>
        </m:r>
        <m:r>
          <m:t>e</m:t>
        </m:r>
        <m:r>
          <m:t>p</m:t>
        </m:r>
        <m:r>
          <m:t>a</m:t>
        </m:r>
        <m:r>
          <m:t>y</m:t>
        </m:r>
        <m:r>
          <m:t>o</m:t>
        </m:r>
        <m:r>
          <m:t>u</m:t>
        </m:r>
        <m:r>
          <m:t>t</m:t>
        </m:r>
        <m:r>
          <m:rPr>
            <m:sty m:val="p"/>
          </m:rPr>
          <m:t>—</m:t>
        </m:r>
        <m:r>
          <m:t>b</m:t>
        </m:r>
        <m:r>
          <m:t>u</m:t>
        </m:r>
        <m:r>
          <m:t>t</m:t>
        </m:r>
        <m:r>
          <m:t>w</m:t>
        </m:r>
        <m:r>
          <m:t>i</m:t>
        </m:r>
        <m:r>
          <m:t>t</m:t>
        </m:r>
        <m:r>
          <m:t>h</m:t>
        </m:r>
        <m:r>
          <m:t>t</m:t>
        </m:r>
        <m:r>
          <m:t>w</m:t>
        </m:r>
        <m:r>
          <m:t>o</m:t>
        </m:r>
        <m:r>
          <m:t>r</m:t>
        </m:r>
        <m:r>
          <m:t>a</m:t>
        </m:r>
        <m:r>
          <m:t>t</m:t>
        </m:r>
        <m:r>
          <m:t>i</m:t>
        </m:r>
        <m:r>
          <m:t>n</m:t>
        </m:r>
        <m:r>
          <m:t>g</m:t>
        </m:r>
        <m:r>
          <m:t>a</m:t>
        </m:r>
        <m:r>
          <m:t>g</m:t>
        </m:r>
        <m:r>
          <m:t>e</m:t>
        </m:r>
        <m:r>
          <m:t>n</m:t>
        </m:r>
        <m:r>
          <m:t>c</m:t>
        </m:r>
        <m:r>
          <m:t>i</m:t>
        </m:r>
        <m:r>
          <m:t>e</m:t>
        </m:r>
        <m:r>
          <m:t>s</m:t>
        </m:r>
        <m:r>
          <m:t>h</m:t>
        </m:r>
        <m:r>
          <m:t>o</m:t>
        </m:r>
        <m:r>
          <m:t>l</m:t>
        </m:r>
        <m:r>
          <m:t>d</m:t>
        </m:r>
        <m:r>
          <m:t>i</m:t>
        </m:r>
        <m:r>
          <m:t>n</m:t>
        </m:r>
        <m:r>
          <m:t>g</m:t>
        </m:r>
        <m:r>
          <m:t>n</m:t>
        </m:r>
        <m:r>
          <m:t>e</m:t>
        </m:r>
        <m:r>
          <m:t>g</m:t>
        </m:r>
        <m:r>
          <m:t>a</m:t>
        </m:r>
        <m:r>
          <m:t>t</m:t>
        </m:r>
        <m:r>
          <m:t>i</m:t>
        </m:r>
        <m:r>
          <m:t>v</m:t>
        </m:r>
        <m:r>
          <m:t>e</m:t>
        </m:r>
        <m:r>
          <m:t>o</m:t>
        </m:r>
        <m:r>
          <m:t>u</m:t>
        </m:r>
        <m:r>
          <m:t>t</m:t>
        </m:r>
        <m:r>
          <m:t>l</m:t>
        </m:r>
        <m:r>
          <m:t>o</m:t>
        </m:r>
        <m:r>
          <m:t>o</m:t>
        </m:r>
        <m:r>
          <m:t>k</m:t>
        </m:r>
        <m:r>
          <m:t>s</m:t>
        </m:r>
        <m:r>
          <m:t>a</m:t>
        </m:r>
        <m:r>
          <m:t>n</m:t>
        </m:r>
        <m:r>
          <m:t>d</m:t>
        </m:r>
        <m:r>
          <m:t>G</m:t>
        </m:r>
        <m:r>
          <m:t>A</m:t>
        </m:r>
        <m:r>
          <m:t>A</m:t>
        </m:r>
        <m:r>
          <m:t>P</m:t>
        </m:r>
        <m:r>
          <m:t>r</m:t>
        </m:r>
        <m:r>
          <m:t>e</m:t>
        </m:r>
        <m:r>
          <m:t>s</m:t>
        </m:r>
        <m:r>
          <m:t>u</m:t>
        </m:r>
        <m:r>
          <m:t>l</m:t>
        </m:r>
        <m:r>
          <m:t>t</m:t>
        </m:r>
        <m:r>
          <m:t>s</m:t>
        </m:r>
        <m:r>
          <m:t>s</m:t>
        </m:r>
        <m:r>
          <m:t>t</m:t>
        </m:r>
        <m:r>
          <m:t>i</m:t>
        </m:r>
        <m:r>
          <m:t>l</m:t>
        </m:r>
        <m:r>
          <m:t>l</m:t>
        </m:r>
        <m:r>
          <m:t>i</m:t>
        </m:r>
        <m:r>
          <m:t>n</m:t>
        </m:r>
        <m:r>
          <m:t>l</m:t>
        </m:r>
        <m:r>
          <m:t>o</m:t>
        </m:r>
        <m:r>
          <m:t>s</m:t>
        </m:r>
        <m:r>
          <m:t>s</m:t>
        </m:r>
        <m:r>
          <m:t>t</m:t>
        </m:r>
        <m:r>
          <m:t>e</m:t>
        </m:r>
        <m:r>
          <m:t>r</m:t>
        </m:r>
        <m:r>
          <m:t>r</m:t>
        </m:r>
        <m:r>
          <m:t>i</m:t>
        </m:r>
        <m:r>
          <m:t>t</m:t>
        </m:r>
        <m:r>
          <m:t>o</m:t>
        </m:r>
        <m:r>
          <m:t>r</m:t>
        </m:r>
        <m:r>
          <m:t>y</m:t>
        </m:r>
        <m:r>
          <m:rPr>
            <m:sty m:val="p"/>
          </m:rPr>
          <m:t>,</m:t>
        </m:r>
        <m:r>
          <m:t>d</m:t>
        </m:r>
        <m:r>
          <m:t>i</m:t>
        </m:r>
        <m:r>
          <m:t>v</m:t>
        </m:r>
        <m:r>
          <m:t>i</m:t>
        </m:r>
        <m:r>
          <m:t>d</m:t>
        </m:r>
        <m:r>
          <m:t>e</m:t>
        </m:r>
        <m:r>
          <m:t>n</m:t>
        </m:r>
        <m:r>
          <m:t>d</m:t>
        </m:r>
        <m:r>
          <m:t>c</m:t>
        </m:r>
        <m:r>
          <m:t>o</m:t>
        </m:r>
        <m:r>
          <m:t>v</m:t>
        </m:r>
        <m:r>
          <m:t>e</m:t>
        </m:r>
        <m:r>
          <m:t>r</m:t>
        </m:r>
        <m:r>
          <m:t>a</m:t>
        </m:r>
        <m:r>
          <m:t>g</m:t>
        </m:r>
        <m:r>
          <m:t>e</m:t>
        </m:r>
        <m:r>
          <m:t>a</m:t>
        </m:r>
        <m:r>
          <m:t>n</m:t>
        </m:r>
        <m:r>
          <m:t>d</m:t>
        </m:r>
        <m:r>
          <m:t>f</m:t>
        </m:r>
        <m:r>
          <m:t>u</m:t>
        </m:r>
        <m:r>
          <m:t>r</m:t>
        </m:r>
        <m:r>
          <m:t>t</m:t>
        </m:r>
        <m:r>
          <m:t>h</m:t>
        </m:r>
        <m:r>
          <m:t>e</m:t>
        </m:r>
        <m:r>
          <m:t>r</m:t>
        </m:r>
        <m:r>
          <m:t>l</m:t>
        </m:r>
        <m:r>
          <m:t>e</m:t>
        </m:r>
        <m:r>
          <m:t>v</m:t>
        </m:r>
        <m:r>
          <m:t>e</m:t>
        </m:r>
        <m:r>
          <m:t>r</m:t>
        </m:r>
        <m:r>
          <m:t>a</m:t>
        </m:r>
        <m:r>
          <m:t>g</m:t>
        </m:r>
        <m:r>
          <m:t>e</m:t>
        </m:r>
        <m:r>
          <m:rPr>
            <m:sty m:val="p"/>
          </m:rPr>
          <m:t>/</m:t>
        </m:r>
        <m:r>
          <m:t>r</m:t>
        </m:r>
        <m:r>
          <m:t>a</m:t>
        </m:r>
        <m:r>
          <m:t>t</m:t>
        </m:r>
        <m:r>
          <m:t>i</m:t>
        </m:r>
        <m:r>
          <m:t>n</m:t>
        </m:r>
        <m:r>
          <m:t>g</m:t>
        </m:r>
        <m:r>
          <m:t>t</m:t>
        </m:r>
        <m:r>
          <m:t>r</m:t>
        </m:r>
        <m:r>
          <m:t>a</m:t>
        </m:r>
        <m:r>
          <m:t>j</m:t>
        </m:r>
        <m:r>
          <m:t>e</m:t>
        </m:r>
        <m:r>
          <m:t>c</m:t>
        </m:r>
        <m:r>
          <m:t>t</m:t>
        </m:r>
        <m:r>
          <m:t>o</m:t>
        </m:r>
        <m:r>
          <m:t>r</m:t>
        </m:r>
        <m:r>
          <m:t>y</m:t>
        </m:r>
        <m:r>
          <m:t>r</m:t>
        </m:r>
        <m:r>
          <m:t>e</m:t>
        </m:r>
        <m:r>
          <m:t>m</m:t>
        </m:r>
        <m:r>
          <m:t>a</m:t>
        </m:r>
        <m:r>
          <m:t>i</m:t>
        </m:r>
        <m:r>
          <m:t>n</m:t>
        </m:r>
        <m:r>
          <m:t>a</m:t>
        </m:r>
        <m:r>
          <m:t>l</m:t>
        </m:r>
        <m:r>
          <m:t>i</m:t>
        </m:r>
        <m:r>
          <m:t>v</m:t>
        </m:r>
        <m:r>
          <m:t>e</m:t>
        </m:r>
        <m:r>
          <m:t>d</m:t>
        </m:r>
        <m:r>
          <m:t>e</m:t>
        </m:r>
        <m:r>
          <m:t>b</m:t>
        </m:r>
        <m:r>
          <m:t>a</m:t>
        </m:r>
        <m:r>
          <m:t>t</m:t>
        </m:r>
        <m:r>
          <m:t>e</m:t>
        </m:r>
        <m:r>
          <m:t>f</m:t>
        </m:r>
        <m:r>
          <m:t>o</m:t>
        </m:r>
        <m:r>
          <m:t>r</m:t>
        </m:r>
        <m:r>
          <m:t>i</m:t>
        </m:r>
        <m:r>
          <m:t>n</m:t>
        </m:r>
        <m:r>
          <m:t>v</m:t>
        </m:r>
        <m:r>
          <m:t>e</m:t>
        </m:r>
        <m:r>
          <m:t>s</m:t>
        </m:r>
        <m:r>
          <m:t>t</m:t>
        </m:r>
        <m:r>
          <m:t>o</m:t>
        </m:r>
        <m:r>
          <m:t>r</m:t>
        </m:r>
        <m:r>
          <m:t>s</m:t>
        </m:r>
        <m:r>
          <m:rPr>
            <m:sty m:val="p"/>
          </m:rPr>
          <m:t>(</m:t>
        </m:r>
        <m:r>
          <m:t>t</m:t>
        </m:r>
        <m:r>
          <m:t>h</m:t>
        </m:r>
        <m:r>
          <m:t>e</m:t>
        </m:r>
        <m:r>
          <m:t>s</m:t>
        </m:r>
        <m:r>
          <m:t>t</m:t>
        </m:r>
        <m:r>
          <m:t>o</m:t>
        </m:r>
        <m:r>
          <m:t>c</m:t>
        </m:r>
        <m:sSup>
          <m:e>
            <m:r>
              <m:t>k</m:t>
            </m:r>
          </m:e>
          <m:sup>
            <m:r>
              <m:rPr>
                <m:sty m:val="p"/>
              </m:rPr>
              <m:t>′</m:t>
            </m:r>
          </m:sup>
        </m:sSup>
        <m:r>
          <m:t>s</m:t>
        </m:r>
        <m:r>
          <m:t> </m:t>
        </m:r>
      </m:oMath>
      <w:r>
        <w:t xml:space="preserve">1.40 annualized dividend equates to roughly a 4.5% yield at the current ~$31 share price).</w:t>
      </w:r>
    </w:p>
    <w:p>
      <w:pPr>
        <w:pStyle w:val="BodyText"/>
      </w:pPr>
      <w:r>
        <w:rPr>
          <w:b/>
          <w:bCs/>
        </w:rPr>
        <w:t xml:space="preserve">7. Europe and Asia dynamics.</w:t>
      </w:r>
      <w:r>
        <w:t xml:space="preserve"> </w:t>
      </w:r>
      <w:r>
        <w:t xml:space="preserve">Management has argued the disruption is paradoxically helping European margins in the near term (feedstock flexibility, positive byproduct credits from tight naphtha) while acknowledging Europe's structural cost disadvantage will resurface once Middle East supply returns online. Watch for commentary on whether China's refinery/feedstock restrictions (redirecting naphtha to fuel production) continue to support ex-China pricing.</w:t>
      </w:r>
    </w:p>
    <w:p>
      <w:r>
        <w:pict>
          <v:rect style="width:0;height:1.5pt" o:hralign="center" o:hrstd="t" o:hr="t"/>
        </w:pict>
      </w:r>
    </w:p>
    <w:bookmarkEnd w:id="12"/>
    <w:bookmarkStart w:id="13" w:name="the-bullbear-framework"/>
    <w:p>
      <w:pPr>
        <w:pStyle w:val="Heading2"/>
      </w:pPr>
      <w:r>
        <w:t xml:space="preserve">The Bull/Bear Framework</w:t>
      </w:r>
    </w:p>
    <w:p>
      <w:pPr>
        <w:pStyle w:val="FirstParagraph"/>
      </w:pPr>
      <w:r>
        <w:rPr>
          <w:b/>
          <w:bCs/>
        </w:rPr>
        <w:t xml:space="preserve">Bull case:</w:t>
      </w:r>
      <w:r>
        <w:t xml:space="preserve"> </w:t>
      </w:r>
      <w:r>
        <w:t xml:space="preserve">The conflict has not de-escalated — if anything, it has intensified further into July with renewed strikes, attacks on Kuwait, and rerouted tanker traffic — which extends the tight-supply, high-pricing window beyond what was assumed in April. Combined with self-help savings ramping into H2 and a Nova cash inflow supporting the balance sheet, Dow could beat both its own Q2 guide and Street consensus, with room to raise the outlook for Q3.</w:t>
      </w:r>
    </w:p>
    <w:p>
      <w:pPr>
        <w:pStyle w:val="BodyText"/>
      </w:pPr>
      <w:r>
        <w:rPr>
          <w:b/>
          <w:bCs/>
        </w:rPr>
        <w:t xml:space="preserve">Bear case:</w:t>
      </w:r>
      <w:r>
        <w:t xml:space="preserve"> </w:t>
      </w:r>
      <w:r>
        <w:t xml:space="preserve">The entire earnings improvement is a geopolitical windfall, not a structural fix to Dow's underlying cyclical/oversupplied end markets. Consensus already sits above company guidance, raising bar-setting risk. A ceasefire or rapid Strait-of-Hormuz normalization would quickly compress the pricing gains Dow is currently capturing, and building &amp; construction-facing segments (Industrial Intermediates &amp; Infrastructure, parts of Performance Materials &amp; Coatings) remain structurally weak on high rates and soft demand. Negative outlooks from S&amp;P and Moody's, continued GAAP losses, and unresolved Sadara liabilities are ongoing balance-sheet overhangs.</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Tomorrow's print is less a referendum on Dow's underlying chemicals business than on the durability of a geopolitically-induced margin windfall. Investors should focus less on the headline revenue/EBITDA beat-or-miss versus the ~</w:t>
      </w:r>
      <m:oMath>
        <m:r>
          <m:t>12</m:t>
        </m:r>
        <m:r>
          <m:t>B</m:t>
        </m:r>
        <m:r>
          <m:rPr>
            <m:sty m:val="p"/>
          </m:rPr>
          <m:t>/</m:t>
        </m:r>
      </m:oMath>
      <w:r>
        <w:t xml:space="preserve">2.2B consensus, and more on: (1) management's updated timeline for the Middle East supply disruption and pricing sustainability, (2) tangible progress on Transform to Outperform's H2 ramp, (3) the Sadara/Aramco restructuring update, and (4) any signal on capital allocation given persistent GAAP losses and negative rating agency outlooks. Given how directly the stock has been trading on Iran headlines rather than fundamentals, initial reaction may hinge as much on management's forward commentary on conflict duration as on the Q2 numbers themselves.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2026-07-23T00:12:46Z</dcterms:created>
  <dcterms:modified xsi:type="dcterms:W3CDTF">2026-07-23T00:12:46Z</dcterms:modified>
</cp:coreProperties>
</file>

<file path=docProps/custom.xml><?xml version="1.0" encoding="utf-8"?>
<Properties xmlns="http://schemas.openxmlformats.org/officeDocument/2006/custom-properties" xmlns:vt="http://schemas.openxmlformats.org/officeDocument/2006/docPropsVTypes"/>
</file>