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dow-earnings-predictions--2026-07-23"/>
    <w:p>
      <w:pPr>
        <w:pStyle w:val="Heading1"/>
      </w:pPr>
      <w:r>
        <w:t xml:space="preserve">DOW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~$2.34B vs. cons $2.20B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~$1.40 vs. cons $1.26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~$12.10B vs. cons $11.95B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Operating EBITDA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~$2.20B vs. cons $1.95B (2026Q3)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Operating EPS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~$1.18 vs. cons $0.93 (2026Q3)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Net sales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~$12.00B vs. cons $11.70B (2026Q3)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+5.2%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+7.0% (FOLLOW-THROUGH)</w:t>
            </w:r>
          </w:p>
        </w:tc>
        <w:tc>
          <w:tcPr/>
          <w:p>
            <w:pPr>
              <w:pStyle w:val="Compact"/>
            </w:pPr>
            <w:r>
              <w:t xml:space="preserve">Positive out-period revisions should extend the initial move: predicted 2026Q3 operating EBITDA of ~$2.20B versus consensus of $1.95B implies the Q2 upside carries forward rather than reversing, lifting second-half and 2027 earnings estimates despite turnaround costs and working-capital pressure.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2026-07-23T00:11:23Z</dcterms:created>
  <dcterms:modified xsi:type="dcterms:W3CDTF">2026-07-23T00:11:23Z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