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abb038fdd884ad2095e04a4f5a16c75df21ac7"/>
    <w:p>
      <w:pPr>
        <w:pStyle w:val="Heading1"/>
      </w:pPr>
      <w:r>
        <w:t xml:space="preserve">Dow Inc. (NYSE: DOW) — 2026 Q2 Earnings Preview</w:t>
      </w:r>
    </w:p>
    <w:p>
      <w:pPr>
        <w:pStyle w:val="BlockText"/>
      </w:pPr>
      <w:r>
        <w:rPr>
          <w:b/>
          <w:bCs/>
        </w:rPr>
        <w:t xml:space="preserve">Date clarification:</w:t>
      </w:r>
      <w:r>
        <w:t xml:space="preserve"> </w:t>
      </w:r>
      <w:r>
        <w:t xml:space="preserve">July 23, 2026 is today, not tomorrow. Dow is scheduled to report before the U.S. market opens on</w:t>
      </w:r>
      <w:r>
        <w:t xml:space="preserve"> </w:t>
      </w:r>
      <w:r>
        <w:rPr>
          <w:b/>
          <w:bCs/>
        </w:rPr>
        <w:t xml:space="preserve">Thursday, July 23, 2026</w:t>
      </w:r>
      <w:r>
        <w:t xml:space="preserve">. This preview treats the release as still pending.</w:t>
      </w:r>
    </w:p>
    <w:bookmarkStart w:id="9" w:name="investment-view-going-into-the-report"/>
    <w:p>
      <w:pPr>
        <w:pStyle w:val="Heading2"/>
      </w:pPr>
      <w:r>
        <w:t xml:space="preserve">Investment view going into the report</w:t>
      </w:r>
    </w:p>
    <w:p>
      <w:pPr>
        <w:pStyle w:val="FirstParagraph"/>
      </w:pPr>
      <w:r>
        <w:t xml:space="preserve">Dow enters earnings with unusually strong near-term pricing and margin momentum, driven primarily by severe Middle Eastern supply disruptions and its advantaged North American feedstock position. Management already raised its second-quarter operating EBITDA outlook from approximately</w:t>
      </w:r>
      <w:r>
        <w:t xml:space="preserve"> </w:t>
      </w:r>
      <w:r>
        <w:rPr>
          <w:b/>
          <w:bCs/>
        </w:rPr>
        <w:t xml:space="preserve">$2.0 billion to $2.2 billion</w:t>
      </w:r>
      <w:r>
        <w:t xml:space="preserve"> </w:t>
      </w:r>
      <w:r>
        <w:t xml:space="preserve">in June, so merely meeting consensus may not be enough to move the shares higher.</w:t>
      </w:r>
    </w:p>
    <w:p>
      <w:pPr>
        <w:pStyle w:val="BodyText"/>
      </w:pPr>
      <w:r>
        <w:t xml:space="preserve">The decisive issue will be</w:t>
      </w:r>
      <w:r>
        <w:t xml:space="preserve"> </w:t>
      </w:r>
      <w:r>
        <w:rPr>
          <w:b/>
          <w:bCs/>
        </w:rPr>
        <w:t xml:space="preserve">how much of the Q2 earnings surge can carry into Q3 and 2027</w:t>
      </w:r>
      <w:r>
        <w:t xml:space="preserve">. Investors must separate temporary geopolitical windfalls from durable improvements produced by cost reductions, European capacity closures and the Transform to Outperform program.</w: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expectation</w:t>
            </w:r>
          </w:p>
        </w:tc>
      </w:tr>
      <w:tr>
        <w:tc>
          <w:tcPr/>
          <w:p>
            <w:pPr>
              <w:pStyle w:val="Compact"/>
            </w:pPr>
            <w:r>
              <w:t xml:space="preserve">Net sales</w:t>
            </w:r>
          </w:p>
        </w:tc>
        <w:tc>
          <w:tcPr/>
          <w:p>
            <w:pPr>
              <w:pStyle w:val="Compact"/>
              <w:jc w:val="right"/>
            </w:pPr>
            <w:r>
              <w:rPr>
                <w:b/>
                <w:bCs/>
              </w:rPr>
              <w:t xml:space="preserve">$11.95 billion</w:t>
            </w:r>
          </w:p>
        </w:tc>
      </w:tr>
      <w:tr>
        <w:tc>
          <w:tcPr/>
          <w:p>
            <w:pPr>
              <w:pStyle w:val="Compact"/>
            </w:pPr>
            <w:r>
              <w:t xml:space="preserve">Operating EBITDA</w:t>
            </w:r>
          </w:p>
        </w:tc>
        <w:tc>
          <w:tcPr/>
          <w:p>
            <w:pPr>
              <w:pStyle w:val="Compact"/>
              <w:jc w:val="right"/>
            </w:pPr>
            <w:r>
              <w:rPr>
                <w:b/>
                <w:bCs/>
              </w:rPr>
              <w:t xml:space="preserve">$2.2 billion</w:t>
            </w:r>
          </w:p>
        </w:tc>
      </w:tr>
      <w:tr>
        <w:tc>
          <w:tcPr/>
          <w:p>
            <w:pPr>
              <w:pStyle w:val="Compact"/>
            </w:pPr>
            <w:r>
              <w:t xml:space="preserve">Operating EPS</w:t>
            </w:r>
          </w:p>
        </w:tc>
        <w:tc>
          <w:tcPr/>
          <w:p>
            <w:pPr>
              <w:pStyle w:val="Compact"/>
              <w:jc w:val="right"/>
            </w:pPr>
            <w:r>
              <w:rPr>
                <w:b/>
                <w:bCs/>
              </w:rPr>
              <w:t xml:space="preserve">$1.26</w:t>
            </w:r>
          </w:p>
        </w:tc>
      </w:tr>
    </w:tbl>
    <w:p>
      <w:pPr>
        <w:pStyle w:val="BodyText"/>
      </w:pPr>
      <w:r>
        <w:t xml:space="preserve">Management’s latest EBITDA outlook of approximately $2.2 billion is about 10% above its original Q2 guidance. At consensus, the quarter would represent:</w:t>
      </w:r>
    </w:p>
    <w:p>
      <w:pPr>
        <w:pStyle w:val="Compact"/>
        <w:numPr>
          <w:ilvl w:val="0"/>
          <w:numId w:val="1001"/>
        </w:numPr>
      </w:pPr>
      <w:r>
        <w:t xml:space="preserve">Approximately</w:t>
      </w:r>
      <w:r>
        <w:t xml:space="preserve"> </w:t>
      </w:r>
      <w:r>
        <w:rPr>
          <w:b/>
          <w:bCs/>
        </w:rPr>
        <w:t xml:space="preserve">22% sequential revenue growth</w:t>
      </w:r>
      <w:r>
        <w:t xml:space="preserve"> </w:t>
      </w:r>
      <w:r>
        <w:t xml:space="preserve">from Q1.</w:t>
      </w:r>
    </w:p>
    <w:p>
      <w:pPr>
        <w:pStyle w:val="Compact"/>
        <w:numPr>
          <w:ilvl w:val="0"/>
          <w:numId w:val="1001"/>
        </w:numPr>
      </w:pPr>
      <w:r>
        <w:t xml:space="preserve">Approximately</w:t>
      </w:r>
      <w:r>
        <w:t xml:space="preserve"> </w:t>
      </w:r>
      <w:r>
        <w:rPr>
          <w:b/>
          <w:bCs/>
        </w:rPr>
        <w:t xml:space="preserve">152% sequential operating EBITDA growth</w:t>
      </w:r>
      <w:r>
        <w:t xml:space="preserve">.</w:t>
      </w:r>
    </w:p>
    <w:p>
      <w:pPr>
        <w:pStyle w:val="Compact"/>
        <w:numPr>
          <w:ilvl w:val="0"/>
          <w:numId w:val="1001"/>
        </w:numPr>
      </w:pPr>
      <w:r>
        <w:t xml:space="preserve">An operating EBITDA margin near</w:t>
      </w:r>
      <w:r>
        <w:t xml:space="preserve"> </w:t>
      </w:r>
      <w:r>
        <w:rPr>
          <w:b/>
          <w:bCs/>
        </w:rPr>
        <w:t xml:space="preserve">18.4%</w:t>
      </w:r>
      <w:r>
        <w:t xml:space="preserve">, versus approximately</w:t>
      </w:r>
      <w:r>
        <w:t xml:space="preserve"> </w:t>
      </w:r>
      <w:r>
        <w:rPr>
          <w:b/>
          <w:bCs/>
        </w:rPr>
        <w:t xml:space="preserve">8.9% in Q1</w:t>
      </w:r>
      <w:r>
        <w:t xml:space="preserve">.</w:t>
      </w:r>
    </w:p>
    <w:p>
      <w:pPr>
        <w:pStyle w:val="Compact"/>
        <w:numPr>
          <w:ilvl w:val="0"/>
          <w:numId w:val="1001"/>
        </w:numPr>
      </w:pPr>
      <w:r>
        <w:t xml:space="preserve">A return to positive operating EPS after Q1’s</w:t>
      </w:r>
      <w:r>
        <w:t xml:space="preserve"> </w:t>
      </w:r>
      <w:r>
        <w:rPr>
          <w:b/>
          <w:bCs/>
        </w:rPr>
        <w:t xml:space="preserve">$0.14 operating loss per share</w:t>
      </w:r>
      <w:r>
        <w:t xml:space="preserve">.</w:t>
      </w:r>
    </w:p>
    <w:p>
      <w:pPr>
        <w:pStyle w:val="FirstParagraph"/>
      </w:pPr>
      <w:r>
        <w:t xml:space="preserve">These are exceptional sequential improvements. Accordingly, the market’s real hurdle is likely above the published consensus.</w:t>
      </w:r>
    </w:p>
    <w:bookmarkEnd w:id="10"/>
    <w:bookmarkStart w:id="11" w:name="Xb68ff24daf88e841be25b6e5a133eb6cd55534c"/>
    <w:p>
      <w:pPr>
        <w:pStyle w:val="Heading2"/>
      </w:pPr>
      <w:r>
        <w:t xml:space="preserve">The central question: How durable is the polyethylene recovery?</w:t>
      </w:r>
    </w:p>
    <w:p>
      <w:pPr>
        <w:pStyle w:val="FirstParagraph"/>
      </w:pPr>
      <w:r>
        <w:t xml:space="preserve">Packaging &amp; Specialty Plastics, Dow’s largest segment, should account for most of the sequential earnings improvement.</w:t>
      </w:r>
    </w:p>
    <w:p>
      <w:pPr>
        <w:pStyle w:val="BodyText"/>
      </w:pPr>
      <w:r>
        <w:t xml:space="preserve">Dow entered the Middle Eastern disruption with an advantaged position:</w:t>
      </w:r>
    </w:p>
    <w:p>
      <w:pPr>
        <w:pStyle w:val="Compact"/>
        <w:numPr>
          <w:ilvl w:val="0"/>
          <w:numId w:val="1002"/>
        </w:numPr>
      </w:pPr>
      <w:r>
        <w:t xml:space="preserve">Significant ethane-based capacity in the Americas.</w:t>
      </w:r>
    </w:p>
    <w:p>
      <w:pPr>
        <w:pStyle w:val="Compact"/>
        <w:numPr>
          <w:ilvl w:val="0"/>
          <w:numId w:val="1002"/>
        </w:numPr>
      </w:pPr>
      <w:r>
        <w:t xml:space="preserve">Strong feedstock availability and relatively well-supplied North American natural-gas markets.</w:t>
      </w:r>
    </w:p>
    <w:p>
      <w:pPr>
        <w:pStyle w:val="Compact"/>
        <w:numPr>
          <w:ilvl w:val="0"/>
          <w:numId w:val="1002"/>
        </w:numPr>
      </w:pPr>
      <w:r>
        <w:t xml:space="preserve">Approximately 80% of Packaging &amp; Specialty Plastics sales tied to comparatively resilient applications such as food packaging, consumer products, and health and hygiene.</w:t>
      </w:r>
    </w:p>
    <w:p>
      <w:pPr>
        <w:pStyle w:val="Compact"/>
        <w:numPr>
          <w:ilvl w:val="0"/>
          <w:numId w:val="1002"/>
        </w:numPr>
      </w:pPr>
      <w:r>
        <w:t xml:space="preserve">Additional polyethylene capacity from the new Poly-7 train in Freeport, Texas.</w:t>
      </w:r>
    </w:p>
    <w:p>
      <w:pPr>
        <w:pStyle w:val="FirstParagraph"/>
      </w:pPr>
      <w:r>
        <w:t xml:space="preserve">Management said Dow captured a</w:t>
      </w:r>
      <w:r>
        <w:t xml:space="preserve"> </w:t>
      </w:r>
      <m:oMath>
        <m:r>
          <m:t>0.10</m:t>
        </m:r>
        <m:r>
          <m:rPr>
            <m:sty m:val="p"/>
          </m:rPr>
          <m:t>−</m:t>
        </m:r>
        <m:r>
          <m:t>p</m:t>
        </m:r>
        <m:r>
          <m:t>e</m:t>
        </m:r>
        <m:r>
          <m:t>r</m:t>
        </m:r>
        <m:r>
          <m:rPr>
            <m:sty m:val="p"/>
          </m:rPr>
          <m:t>−</m:t>
        </m:r>
        <m:r>
          <m:t>p</m:t>
        </m:r>
        <m:r>
          <m:t>o</m:t>
        </m:r>
        <m:r>
          <m:t>u</m:t>
        </m:r>
        <m:r>
          <m:t>n</m:t>
        </m:r>
        <m:r>
          <m:t>d</m:t>
        </m:r>
        <m:r>
          <m:t>p</m:t>
        </m:r>
        <m:r>
          <m:t>o</m:t>
        </m:r>
        <m:r>
          <m:t>l</m:t>
        </m:r>
        <m:r>
          <m:t>y</m:t>
        </m:r>
        <m:r>
          <m:t>e</m:t>
        </m:r>
        <m:r>
          <m:t>t</m:t>
        </m:r>
        <m:r>
          <m:t>h</m:t>
        </m:r>
        <m:r>
          <m:t>y</m:t>
        </m:r>
        <m:r>
          <m:t>l</m:t>
        </m:r>
        <m:r>
          <m:t>e</m:t>
        </m:r>
        <m:r>
          <m:t>n</m:t>
        </m:r>
        <m:r>
          <m:t>e</m:t>
        </m:r>
        <m:r>
          <m:t>i</m:t>
        </m:r>
        <m:r>
          <m:t>n</m:t>
        </m:r>
        <m:r>
          <m:t>c</m:t>
        </m:r>
        <m:r>
          <m:t>r</m:t>
        </m:r>
        <m:r>
          <m:t>e</m:t>
        </m:r>
        <m:r>
          <m:t>a</m:t>
        </m:r>
        <m:r>
          <m:t>s</m:t>
        </m:r>
        <m:r>
          <m:t>e</m:t>
        </m:r>
        <m:r>
          <m:t>i</m:t>
        </m:r>
        <m:r>
          <m:t>n</m:t>
        </m:r>
        <m:r>
          <m:t>M</m:t>
        </m:r>
        <m:r>
          <m:t>a</m:t>
        </m:r>
        <m:r>
          <m:t>r</m:t>
        </m:r>
        <m:r>
          <m:t>c</m:t>
        </m:r>
        <m:r>
          <m:t>h</m:t>
        </m:r>
        <m:r>
          <m:rPr>
            <m:sty m:val="p"/>
          </m:rPr>
          <m:t>*</m:t>
        </m:r>
        <m:r>
          <m:rPr>
            <m:sty m:val="p"/>
          </m:rPr>
          <m:t>*</m:t>
        </m:r>
        <m:r>
          <m:t>a</m:t>
        </m:r>
        <m:r>
          <m:t>n</m:t>
        </m:r>
        <m:r>
          <m:t>d</m:t>
        </m:r>
        <m:r>
          <m:t>a</m:t>
        </m:r>
        <m:r>
          <m:rPr>
            <m:sty m:val="p"/>
          </m:rPr>
          <m:t>*</m:t>
        </m:r>
        <m:r>
          <m:rPr>
            <m:sty m:val="p"/>
          </m:rPr>
          <m:t>*</m:t>
        </m:r>
      </m:oMath>
      <w:r>
        <w:rPr>
          <w:b/>
          <w:bCs/>
        </w:rPr>
        <w:t xml:space="preserve">0.30 increase in April</w:t>
      </w:r>
      <w:r>
        <w:t xml:space="preserve">. The company subsequently announced another</w:t>
      </w:r>
      <w:r>
        <w:t xml:space="preserve"> </w:t>
      </w:r>
      <w:r>
        <w:rPr>
          <w:b/>
          <w:bCs/>
        </w:rPr>
        <w:t xml:space="preserve">$0.20 increase for June</w:t>
      </w:r>
      <w:r>
        <w:t xml:space="preserve">, which was</w:t>
      </w:r>
      <w:r>
        <w:t xml:space="preserve"> </w:t>
      </w:r>
      <w:r>
        <w:rPr>
          <w:b/>
          <w:bCs/>
        </w:rPr>
        <w:t xml:space="preserve">not included</w:t>
      </w:r>
      <w:r>
        <w:t xml:space="preserve"> </w:t>
      </w:r>
      <w:r>
        <w:t xml:space="preserve">in its updated $2.2 billion EBITDA forecast.</w:t>
      </w:r>
    </w:p>
    <w:p>
      <w:pPr>
        <w:pStyle w:val="BodyText"/>
      </w:pPr>
      <w:r>
        <w:t xml:space="preserve">That creates potential upside, but investors should look beyond announced price increases and determine:</w:t>
      </w:r>
    </w:p>
    <w:p>
      <w:pPr>
        <w:pStyle w:val="Compact"/>
        <w:numPr>
          <w:ilvl w:val="0"/>
          <w:numId w:val="1003"/>
        </w:numPr>
      </w:pPr>
      <w:r>
        <w:t xml:space="preserve">How much of the June increase was actually realized?</w:t>
      </w:r>
    </w:p>
    <w:p>
      <w:pPr>
        <w:pStyle w:val="Compact"/>
        <w:numPr>
          <w:ilvl w:val="0"/>
          <w:numId w:val="1003"/>
        </w:numPr>
      </w:pPr>
      <w:r>
        <w:t xml:space="preserve">Did higher prices cause customer destocking or order cancellations?</w:t>
      </w:r>
    </w:p>
    <w:p>
      <w:pPr>
        <w:pStyle w:val="Compact"/>
        <w:numPr>
          <w:ilvl w:val="0"/>
          <w:numId w:val="1003"/>
        </w:numPr>
      </w:pPr>
      <w:r>
        <w:t xml:space="preserve">Are export margins improving alongside domestic margins?</w:t>
      </w:r>
    </w:p>
    <w:p>
      <w:pPr>
        <w:pStyle w:val="Compact"/>
        <w:numPr>
          <w:ilvl w:val="0"/>
          <w:numId w:val="1003"/>
        </w:numPr>
      </w:pPr>
      <w:r>
        <w:t xml:space="preserve">How much pricing is carrying into July?</w:t>
      </w:r>
    </w:p>
    <w:p>
      <w:pPr>
        <w:pStyle w:val="Compact"/>
        <w:numPr>
          <w:ilvl w:val="0"/>
          <w:numId w:val="1003"/>
        </w:numPr>
      </w:pPr>
      <w:r>
        <w:t xml:space="preserve">Are rising oil, energy and freight costs offsetting part of the benefit?</w:t>
      </w:r>
    </w:p>
    <w:p>
      <w:pPr>
        <w:pStyle w:val="FirstParagraph"/>
      </w:pPr>
      <w:r>
        <w:t xml:space="preserve">Management said in June that order books remained healthy and that it had not seen meaningful cancellations. Confirmation of that trend would support the argument that the current margin improvement can extend beyond Q2.</w:t>
      </w:r>
    </w:p>
    <w:bookmarkEnd w:id="11"/>
    <w:bookmarkStart w:id="14" w:name="X7fe74782194907237b8cc88622ae46eead5a50a"/>
    <w:p>
      <w:pPr>
        <w:pStyle w:val="Heading2"/>
      </w:pPr>
      <w:r>
        <w:t xml:space="preserve">Q3 guidance is more important than the Q2 result</w:t>
      </w:r>
    </w:p>
    <w:p>
      <w:pPr>
        <w:pStyle w:val="FirstParagraph"/>
      </w:pPr>
      <w:r>
        <w:t xml:space="preserve">Dow indicated in June that Q2 and Q3 are normally similar earnings periods, although Q3 will include additional turnaround activity. Since then, conflict around the Strait of Hormuz has re-escalated, vessel traffic has fallen sharply and Brent crude recently moved above $94 per barrel.</w:t>
      </w:r>
    </w:p>
    <w:p>
      <w:pPr>
        <w:pStyle w:val="BodyText"/>
      </w:pPr>
      <w:r>
        <w:t xml:space="preserve">This backdrop has two opposing effects on Dow.</w:t>
      </w:r>
    </w:p>
    <w:bookmarkStart w:id="12" w:name="potential-benefits"/>
    <w:p>
      <w:pPr>
        <w:pStyle w:val="Heading3"/>
      </w:pPr>
      <w:r>
        <w:t xml:space="preserve">Potential benefits</w:t>
      </w:r>
    </w:p>
    <w:p>
      <w:pPr>
        <w:pStyle w:val="Compact"/>
        <w:numPr>
          <w:ilvl w:val="0"/>
          <w:numId w:val="1004"/>
        </w:numPr>
      </w:pPr>
      <w:r>
        <w:t xml:space="preserve">Reduced Middle Eastern petrochemical exports.</w:t>
      </w:r>
    </w:p>
    <w:p>
      <w:pPr>
        <w:pStyle w:val="Compact"/>
        <w:numPr>
          <w:ilvl w:val="0"/>
          <w:numId w:val="1004"/>
        </w:numPr>
      </w:pPr>
      <w:r>
        <w:t xml:space="preserve">Higher global production costs for naphtha-based competitors.</w:t>
      </w:r>
    </w:p>
    <w:p>
      <w:pPr>
        <w:pStyle w:val="Compact"/>
        <w:numPr>
          <w:ilvl w:val="0"/>
          <w:numId w:val="1004"/>
        </w:numPr>
      </w:pPr>
      <w:r>
        <w:t xml:space="preserve">A wider oil-to-U.S.-natural-gas spread, strengthening the Americas’ cost advantage.</w:t>
      </w:r>
    </w:p>
    <w:p>
      <w:pPr>
        <w:pStyle w:val="Compact"/>
        <w:numPr>
          <w:ilvl w:val="0"/>
          <w:numId w:val="1004"/>
        </w:numPr>
      </w:pPr>
      <w:r>
        <w:t xml:space="preserve">Increased export opportunities for North American polyethylene.</w:t>
      </w:r>
    </w:p>
    <w:p>
      <w:pPr>
        <w:pStyle w:val="Compact"/>
        <w:numPr>
          <w:ilvl w:val="0"/>
          <w:numId w:val="1004"/>
        </w:numPr>
      </w:pPr>
      <w:r>
        <w:t xml:space="preserve">Continued tightness in MDI, polyols and other chemical chains.</w:t>
      </w:r>
    </w:p>
    <w:p>
      <w:pPr>
        <w:pStyle w:val="Compact"/>
        <w:numPr>
          <w:ilvl w:val="0"/>
          <w:numId w:val="1004"/>
        </w:numPr>
      </w:pPr>
      <w:r>
        <w:t xml:space="preserve">A longer period before global inventories and logistics normalize.</w:t>
      </w:r>
    </w:p>
    <w:bookmarkEnd w:id="12"/>
    <w:bookmarkStart w:id="13" w:name="potential-negatives"/>
    <w:p>
      <w:pPr>
        <w:pStyle w:val="Heading3"/>
      </w:pPr>
      <w:r>
        <w:t xml:space="preserve">Potential negatives</w:t>
      </w:r>
    </w:p>
    <w:p>
      <w:pPr>
        <w:pStyle w:val="Compact"/>
        <w:numPr>
          <w:ilvl w:val="0"/>
          <w:numId w:val="1005"/>
        </w:numPr>
      </w:pPr>
      <w:r>
        <w:t xml:space="preserve">Higher energy and transportation expenses.</w:t>
      </w:r>
    </w:p>
    <w:p>
      <w:pPr>
        <w:pStyle w:val="Compact"/>
        <w:numPr>
          <w:ilvl w:val="0"/>
          <w:numId w:val="1005"/>
        </w:numPr>
      </w:pPr>
      <w:r>
        <w:t xml:space="preserve">Working-capital consumption as receivables and inventory values rise.</w:t>
      </w:r>
    </w:p>
    <w:p>
      <w:pPr>
        <w:pStyle w:val="Compact"/>
        <w:numPr>
          <w:ilvl w:val="0"/>
          <w:numId w:val="1005"/>
        </w:numPr>
      </w:pPr>
      <w:r>
        <w:t xml:space="preserve">Inflationary pressure on consumers and industrial demand.</w:t>
      </w:r>
    </w:p>
    <w:p>
      <w:pPr>
        <w:pStyle w:val="Compact"/>
        <w:numPr>
          <w:ilvl w:val="0"/>
          <w:numId w:val="1005"/>
        </w:numPr>
      </w:pPr>
      <w:r>
        <w:t xml:space="preserve">Further weakness in automotive and construction-related markets.</w:t>
      </w:r>
    </w:p>
    <w:p>
      <w:pPr>
        <w:pStyle w:val="Compact"/>
        <w:numPr>
          <w:ilvl w:val="0"/>
          <w:numId w:val="1005"/>
        </w:numPr>
      </w:pPr>
      <w:r>
        <w:t xml:space="preserve">Eventual pricing normalization if Middle Eastern supply returns faster than expected.</w:t>
      </w:r>
    </w:p>
    <w:p>
      <w:pPr>
        <w:pStyle w:val="FirstParagraph"/>
      </w:pPr>
      <w:r>
        <w:t xml:space="preserve">A constructive report would pair a Q2 beat with guidance indicating that</w:t>
      </w:r>
      <w:r>
        <w:t xml:space="preserve"> </w:t>
      </w:r>
      <w:r>
        <w:rPr>
          <w:b/>
          <w:bCs/>
        </w:rPr>
        <w:t xml:space="preserve">Q3 EBITDA can remain around Q2 levels—or at least materially above the pre-conflict earnings run rate</w:t>
      </w:r>
      <w:r>
        <w:t xml:space="preserve">. A strong quarter followed by a cautious Q3 outlook would likely be interpreted as peak earnings.</w:t>
      </w:r>
    </w:p>
    <w:bookmarkEnd w:id="13"/>
    <w:bookmarkEnd w:id="14"/>
    <w:bookmarkStart w:id="18" w:name="segment-considerations"/>
    <w:p>
      <w:pPr>
        <w:pStyle w:val="Heading2"/>
      </w:pPr>
      <w:r>
        <w:t xml:space="preserve">Segment considerations</w:t>
      </w:r>
    </w:p>
    <w:bookmarkStart w:id="15" w:name="packaging--specialty-plastics"/>
    <w:p>
      <w:pPr>
        <w:pStyle w:val="Heading3"/>
      </w:pPr>
      <w:r>
        <w:t xml:space="preserve">Packaging &amp; Specialty Plastics</w:t>
      </w:r>
    </w:p>
    <w:p>
      <w:pPr>
        <w:pStyle w:val="FirstParagraph"/>
      </w:pPr>
      <w:r>
        <w:t xml:space="preserve">This is the main upside driver. Investors should expect substantial sequential improvement from polyethylene pricing, higher utilization and stronger integrated margins.</w:t>
      </w:r>
    </w:p>
    <w:p>
      <w:pPr>
        <w:pStyle w:val="BodyText"/>
      </w:pPr>
      <w:r>
        <w:t xml:space="preserve">Key points to monitor:</w:t>
      </w:r>
    </w:p>
    <w:p>
      <w:pPr>
        <w:pStyle w:val="Compact"/>
        <w:numPr>
          <w:ilvl w:val="0"/>
          <w:numId w:val="1006"/>
        </w:numPr>
      </w:pPr>
      <w:r>
        <w:t xml:space="preserve">June and July polyethylene-price realization.</w:t>
      </w:r>
    </w:p>
    <w:p>
      <w:pPr>
        <w:pStyle w:val="Compact"/>
        <w:numPr>
          <w:ilvl w:val="0"/>
          <w:numId w:val="1006"/>
        </w:numPr>
      </w:pPr>
      <w:r>
        <w:t xml:space="preserve">Domestic versus export profitability.</w:t>
      </w:r>
    </w:p>
    <w:p>
      <w:pPr>
        <w:pStyle w:val="Compact"/>
        <w:numPr>
          <w:ilvl w:val="0"/>
          <w:numId w:val="1006"/>
        </w:numPr>
      </w:pPr>
      <w:r>
        <w:t xml:space="preserve">Production rates at Freeport and other U.S. Gulf Coast assets.</w:t>
      </w:r>
    </w:p>
    <w:p>
      <w:pPr>
        <w:pStyle w:val="Compact"/>
        <w:numPr>
          <w:ilvl w:val="0"/>
          <w:numId w:val="1006"/>
        </w:numPr>
      </w:pPr>
      <w:r>
        <w:t xml:space="preserve">The benefit from restarting the Terneuzen 3 cracker in Europe.</w:t>
      </w:r>
    </w:p>
    <w:p>
      <w:pPr>
        <w:pStyle w:val="Compact"/>
        <w:numPr>
          <w:ilvl w:val="0"/>
          <w:numId w:val="1006"/>
        </w:numPr>
      </w:pPr>
      <w:r>
        <w:t xml:space="preserve">Planned maintenance costs and operational reliability.</w:t>
      </w:r>
    </w:p>
    <w:p>
      <w:pPr>
        <w:pStyle w:val="FirstParagraph"/>
      </w:pPr>
      <w:r>
        <w:t xml:space="preserve">Management previously suggested that Q2 segment earnings could approach or exceed mid-cycle levels. Commentary on whether margins are moving toward peak levels will be important.</w:t>
      </w:r>
    </w:p>
    <w:bookmarkEnd w:id="15"/>
    <w:bookmarkStart w:id="16" w:name="industrial-intermediates--infrastructure"/>
    <w:p>
      <w:pPr>
        <w:pStyle w:val="Heading3"/>
      </w:pPr>
      <w:r>
        <w:t xml:space="preserve">Industrial Intermediates &amp; Infrastructure</w:t>
      </w:r>
    </w:p>
    <w:p>
      <w:pPr>
        <w:pStyle w:val="FirstParagraph"/>
      </w:pPr>
      <w:r>
        <w:t xml:space="preserve">This segment appears to be the biggest source of upside relative to Dow’s original Q2 forecast. Management cited improving polyols and MDI pricing when it raised companywide EBITDA guidance in June.</w:t>
      </w:r>
    </w:p>
    <w:p>
      <w:pPr>
        <w:pStyle w:val="BodyText"/>
      </w:pPr>
      <w:r>
        <w:t xml:space="preserve">Investors should focus on:</w:t>
      </w:r>
    </w:p>
    <w:p>
      <w:pPr>
        <w:pStyle w:val="Compact"/>
        <w:numPr>
          <w:ilvl w:val="0"/>
          <w:numId w:val="1007"/>
        </w:numPr>
      </w:pPr>
      <w:r>
        <w:t xml:space="preserve">Whether MDI and polyol prices are rising faster than benzene and other inputs.</w:t>
      </w:r>
    </w:p>
    <w:p>
      <w:pPr>
        <w:pStyle w:val="Compact"/>
        <w:numPr>
          <w:ilvl w:val="0"/>
          <w:numId w:val="1007"/>
        </w:numPr>
      </w:pPr>
      <w:r>
        <w:t xml:space="preserve">Seasonal construction demand.</w:t>
      </w:r>
    </w:p>
    <w:p>
      <w:pPr>
        <w:pStyle w:val="Compact"/>
        <w:numPr>
          <w:ilvl w:val="0"/>
          <w:numId w:val="1007"/>
        </w:numPr>
      </w:pPr>
      <w:r>
        <w:t xml:space="preserve">Licensing revenue, which management had expected to decline sequentially.</w:t>
      </w:r>
    </w:p>
    <w:p>
      <w:pPr>
        <w:pStyle w:val="Compact"/>
        <w:numPr>
          <w:ilvl w:val="0"/>
          <w:numId w:val="1007"/>
        </w:numPr>
      </w:pPr>
      <w:r>
        <w:t xml:space="preserve">Continued losses or cash obligations associated with Middle Eastern joint ventures.</w:t>
      </w:r>
    </w:p>
    <w:bookmarkEnd w:id="16"/>
    <w:bookmarkStart w:id="17" w:name="performance-materials--coatings"/>
    <w:p>
      <w:pPr>
        <w:pStyle w:val="Heading3"/>
      </w:pPr>
      <w:r>
        <w:t xml:space="preserve">Performance Materials &amp; Coatings</w:t>
      </w:r>
    </w:p>
    <w:p>
      <w:pPr>
        <w:pStyle w:val="FirstParagraph"/>
      </w:pPr>
      <w:r>
        <w:t xml:space="preserve">The segment should benefit from seasonal coatings demand, downstream silicones growth and lower structural costs.</w:t>
      </w:r>
    </w:p>
    <w:p>
      <w:pPr>
        <w:pStyle w:val="BodyText"/>
      </w:pPr>
      <w:r>
        <w:t xml:space="preserve">Relevant items include:</w:t>
      </w:r>
    </w:p>
    <w:p>
      <w:pPr>
        <w:pStyle w:val="Compact"/>
        <w:numPr>
          <w:ilvl w:val="0"/>
          <w:numId w:val="1008"/>
        </w:numPr>
      </w:pPr>
      <w:r>
        <w:t xml:space="preserve">Electronics and personal-care demand for downstream silicones.</w:t>
      </w:r>
    </w:p>
    <w:p>
      <w:pPr>
        <w:pStyle w:val="Compact"/>
        <w:numPr>
          <w:ilvl w:val="0"/>
          <w:numId w:val="1008"/>
        </w:numPr>
      </w:pPr>
      <w:r>
        <w:t xml:space="preserve">Coatings volumes amid mixed housing conditions.</w:t>
      </w:r>
    </w:p>
    <w:p>
      <w:pPr>
        <w:pStyle w:val="Compact"/>
        <w:numPr>
          <w:ilvl w:val="0"/>
          <w:numId w:val="1008"/>
        </w:numPr>
      </w:pPr>
      <w:r>
        <w:t xml:space="preserve">Benefits from the early shutdown of Dow’s higher-cost siloxanes facility in Barry, U.K.</w:t>
      </w:r>
    </w:p>
    <w:p>
      <w:pPr>
        <w:pStyle w:val="Compact"/>
        <w:numPr>
          <w:ilvl w:val="0"/>
          <w:numId w:val="1008"/>
        </w:numPr>
      </w:pPr>
      <w:r>
        <w:t xml:space="preserve">Whether upstream raw-material inflation is delaying margin expansion.</w:t>
      </w:r>
    </w:p>
    <w:p>
      <w:pPr>
        <w:pStyle w:val="FirstParagraph"/>
      </w:pPr>
      <w:r>
        <w:t xml:space="preserve">This segment is unlikely to determine the initial earnings beat or miss, but it is important to Dow’s argument that earnings are improving beyond polyethylene.</w:t>
      </w:r>
    </w:p>
    <w:bookmarkEnd w:id="17"/>
    <w:bookmarkEnd w:id="18"/>
    <w:bookmarkStart w:id="19" w:name="self-help-must-remain-visible"/>
    <w:p>
      <w:pPr>
        <w:pStyle w:val="Heading2"/>
      </w:pPr>
      <w:r>
        <w:t xml:space="preserve">Self-help must remain visible</w:t>
      </w:r>
    </w:p>
    <w:p>
      <w:pPr>
        <w:pStyle w:val="FirstParagraph"/>
      </w:pPr>
      <w:r>
        <w:t xml:space="preserve">The geopolitical pricing benefit has not changed Dow’s longer-term need to lower its cost base. Management has outlined approximately</w:t>
      </w:r>
      <w:r>
        <w:t xml:space="preserve"> </w:t>
      </w:r>
      <w:r>
        <w:rPr>
          <w:b/>
          <w:bCs/>
        </w:rPr>
        <w:t xml:space="preserve">$1.1 billion of 2026 EBITDA improvement from self-help actions</w:t>
      </w:r>
      <w:r>
        <w:t xml:space="preserve">, consisting of:</w:t>
      </w:r>
    </w:p>
    <w:p>
      <w:pPr>
        <w:pStyle w:val="Compact"/>
        <w:numPr>
          <w:ilvl w:val="0"/>
          <w:numId w:val="1009"/>
        </w:numPr>
      </w:pPr>
      <w:r>
        <w:t xml:space="preserve">Roughly</w:t>
      </w:r>
      <w:r>
        <w:t xml:space="preserve"> </w:t>
      </w:r>
      <w:r>
        <w:rPr>
          <w:b/>
          <w:bCs/>
        </w:rPr>
        <w:t xml:space="preserve">$500 million</w:t>
      </w:r>
      <w:r>
        <w:t xml:space="preserve"> </w:t>
      </w:r>
      <w:r>
        <w:t xml:space="preserve">from the remaining 2025 cost-savings program.</w:t>
      </w:r>
    </w:p>
    <w:p>
      <w:pPr>
        <w:pStyle w:val="Compact"/>
        <w:numPr>
          <w:ilvl w:val="0"/>
          <w:numId w:val="1009"/>
        </w:numPr>
      </w:pPr>
      <w:r>
        <w:t xml:space="preserve">Approximately</w:t>
      </w:r>
      <w:r>
        <w:t xml:space="preserve"> </w:t>
      </w:r>
      <w:r>
        <w:rPr>
          <w:b/>
          <w:bCs/>
        </w:rPr>
        <w:t xml:space="preserve">$500 million</w:t>
      </w:r>
      <w:r>
        <w:t xml:space="preserve"> </w:t>
      </w:r>
      <w:r>
        <w:t xml:space="preserve">from Transform to Outperform.</w:t>
      </w:r>
    </w:p>
    <w:p>
      <w:pPr>
        <w:pStyle w:val="Compact"/>
        <w:numPr>
          <w:ilvl w:val="0"/>
          <w:numId w:val="1009"/>
        </w:numPr>
      </w:pPr>
      <w:r>
        <w:t xml:space="preserve">About</w:t>
      </w:r>
      <w:r>
        <w:t xml:space="preserve"> </w:t>
      </w:r>
      <w:r>
        <w:rPr>
          <w:b/>
          <w:bCs/>
        </w:rPr>
        <w:t xml:space="preserve">$100 million</w:t>
      </w:r>
      <w:r>
        <w:t xml:space="preserve"> </w:t>
      </w:r>
      <w:r>
        <w:t xml:space="preserve">from completed growth investments and portfolio actions.</w:t>
      </w:r>
    </w:p>
    <w:p>
      <w:pPr>
        <w:pStyle w:val="FirstParagraph"/>
      </w:pPr>
      <w:r>
        <w:t xml:space="preserve">The original cost program was expected to be materially complete by the end of Q2, while Transform to Outperform benefits should become more heavily weighted toward the second half.</w:t>
      </w:r>
    </w:p>
    <w:p>
      <w:pPr>
        <w:pStyle w:val="BodyText"/>
      </w:pPr>
      <w:r>
        <w:t xml:space="preserve">The strongest report would demonstrate both:</w:t>
      </w:r>
    </w:p>
    <w:p>
      <w:pPr>
        <w:pStyle w:val="Compact"/>
        <w:numPr>
          <w:ilvl w:val="0"/>
          <w:numId w:val="1010"/>
        </w:numPr>
      </w:pPr>
      <w:r>
        <w:t xml:space="preserve">Cyclical upside from pricing and supply disruption; and</w:t>
      </w:r>
    </w:p>
    <w:p>
      <w:pPr>
        <w:pStyle w:val="Compact"/>
        <w:numPr>
          <w:ilvl w:val="0"/>
          <w:numId w:val="1010"/>
        </w:numPr>
      </w:pPr>
      <w:r>
        <w:t xml:space="preserve">Measurable structural improvement in fixed costs, productivity and asset utilization.</w:t>
      </w:r>
    </w:p>
    <w:p>
      <w:pPr>
        <w:pStyle w:val="FirstParagraph"/>
      </w:pPr>
      <w:r>
        <w:t xml:space="preserve">Investors should be wary if management attributes nearly all of the sequential earnings gain to external pricing without quantifying savings from actions under its control.</w:t>
      </w:r>
    </w:p>
    <w:bookmarkEnd w:id="19"/>
    <w:bookmarkStart w:id="20" w:name="cash-flow-and-the-balance-sheet"/>
    <w:p>
      <w:pPr>
        <w:pStyle w:val="Heading2"/>
      </w:pPr>
      <w:r>
        <w:t xml:space="preserve">Cash flow and the balance sheet</w:t>
      </w:r>
    </w:p>
    <w:p>
      <w:pPr>
        <w:pStyle w:val="FirstParagraph"/>
      </w:pPr>
      <w:r>
        <w:t xml:space="preserve">Dow finished Q1 with:</w:t>
      </w:r>
    </w:p>
    <w:p>
      <w:pPr>
        <w:pStyle w:val="Compact"/>
        <w:numPr>
          <w:ilvl w:val="0"/>
          <w:numId w:val="1011"/>
        </w:numPr>
      </w:pPr>
      <w:r>
        <w:rPr>
          <w:b/>
          <w:bCs/>
        </w:rPr>
        <w:t xml:space="preserve">$4.1 billion of cash</w:t>
      </w:r>
      <w:r>
        <w:t xml:space="preserve">.</w:t>
      </w:r>
    </w:p>
    <w:p>
      <w:pPr>
        <w:pStyle w:val="Compact"/>
        <w:numPr>
          <w:ilvl w:val="0"/>
          <w:numId w:val="1011"/>
        </w:numPr>
      </w:pPr>
      <w:r>
        <w:t xml:space="preserve">Approximately</w:t>
      </w:r>
      <w:r>
        <w:t xml:space="preserve"> </w:t>
      </w:r>
      <w:r>
        <w:rPr>
          <w:b/>
          <w:bCs/>
        </w:rPr>
        <w:t xml:space="preserve">$14 billion of total liquidity</w:t>
      </w:r>
      <w:r>
        <w:t xml:space="preserve">.</w:t>
      </w:r>
    </w:p>
    <w:p>
      <w:pPr>
        <w:pStyle w:val="Compact"/>
        <w:numPr>
          <w:ilvl w:val="0"/>
          <w:numId w:val="1011"/>
        </w:numPr>
      </w:pPr>
      <w:r>
        <w:t xml:space="preserve">Roughly</w:t>
      </w:r>
      <w:r>
        <w:t xml:space="preserve"> </w:t>
      </w:r>
      <w:r>
        <w:rPr>
          <w:b/>
          <w:bCs/>
        </w:rPr>
        <w:t xml:space="preserve">$18 billion of current and long-term debt</w:t>
      </w:r>
      <w:r>
        <w:t xml:space="preserve">.</w:t>
      </w:r>
    </w:p>
    <w:p>
      <w:pPr>
        <w:pStyle w:val="Compact"/>
        <w:numPr>
          <w:ilvl w:val="0"/>
          <w:numId w:val="1011"/>
        </w:numPr>
      </w:pPr>
      <w:r>
        <w:t xml:space="preserve">No substantive debt maturities until 2029.</w:t>
      </w:r>
    </w:p>
    <w:p>
      <w:pPr>
        <w:pStyle w:val="FirstParagraph"/>
      </w:pPr>
      <w:r>
        <w:t xml:space="preserve">Q1 free cash flow was $621 million, but it benefited from the NOVA Chemicals litigation payment. Management has warned that rapidly rising prices may consume working capital in the near term, particularly through higher receivables, with stronger free-cash-flow generation expected in the second half.</w:t>
      </w:r>
    </w:p>
    <w:p>
      <w:pPr>
        <w:pStyle w:val="BodyText"/>
      </w:pPr>
      <w:r>
        <w:t xml:space="preserve">Management has also said incremental cash from the earnings recovery will be directed toward</w:t>
      </w:r>
      <w:r>
        <w:t xml:space="preserve"> </w:t>
      </w:r>
      <w:r>
        <w:rPr>
          <w:b/>
          <w:bCs/>
        </w:rPr>
        <w:t xml:space="preserve">deleveraging</w:t>
      </w:r>
      <w:r>
        <w:t xml:space="preserve">. Investors should therefore focus on:</w:t>
      </w:r>
    </w:p>
    <w:p>
      <w:pPr>
        <w:pStyle w:val="Compact"/>
        <w:numPr>
          <w:ilvl w:val="0"/>
          <w:numId w:val="1012"/>
        </w:numPr>
      </w:pPr>
      <w:r>
        <w:t xml:space="preserve">Q2 operating cash flow and free cash flow.</w:t>
      </w:r>
    </w:p>
    <w:p>
      <w:pPr>
        <w:pStyle w:val="Compact"/>
        <w:numPr>
          <w:ilvl w:val="0"/>
          <w:numId w:val="1012"/>
        </w:numPr>
      </w:pPr>
      <w:r>
        <w:t xml:space="preserve">Working-capital outflows.</w:t>
      </w:r>
    </w:p>
    <w:p>
      <w:pPr>
        <w:pStyle w:val="Compact"/>
        <w:numPr>
          <w:ilvl w:val="0"/>
          <w:numId w:val="1012"/>
        </w:numPr>
      </w:pPr>
      <w:r>
        <w:t xml:space="preserve">Updated full-year capital-spending expectations.</w:t>
      </w:r>
    </w:p>
    <w:p>
      <w:pPr>
        <w:pStyle w:val="Compact"/>
        <w:numPr>
          <w:ilvl w:val="0"/>
          <w:numId w:val="1012"/>
        </w:numPr>
      </w:pPr>
      <w:r>
        <w:t xml:space="preserve">Debt reduction plans.</w:t>
      </w:r>
    </w:p>
    <w:p>
      <w:pPr>
        <w:pStyle w:val="Compact"/>
        <w:numPr>
          <w:ilvl w:val="0"/>
          <w:numId w:val="1012"/>
        </w:numPr>
      </w:pPr>
      <w:r>
        <w:t xml:space="preserve">Whether stronger EBITDA is translating into improved credit metrics.</w:t>
      </w:r>
    </w:p>
    <w:p>
      <w:pPr>
        <w:pStyle w:val="FirstParagraph"/>
      </w:pPr>
      <w:r>
        <w:t xml:space="preserve">At the current $0.35 quarterly dividend rate, the shares offer an annualized yield of approximately</w:t>
      </w:r>
      <w:r>
        <w:t xml:space="preserve"> </w:t>
      </w:r>
      <w:r>
        <w:rPr>
          <w:b/>
          <w:bCs/>
        </w:rPr>
        <w:t xml:space="preserve">4.5%</w:t>
      </w:r>
      <w:r>
        <w:t xml:space="preserve"> </w:t>
      </w:r>
      <w:r>
        <w:t xml:space="preserve">based on the July 22 closing price. Given the prior dividend reduction, balance-sheet improvement is likely to take precedence over near-term dividend growth or aggressive repurchases.</w:t>
      </w:r>
    </w:p>
    <w:bookmarkEnd w:id="20"/>
    <w:bookmarkStart w:id="21" w:name="X83b8d6519a2463dcf6b3215fcc8defe9357ceca"/>
    <w:p>
      <w:pPr>
        <w:pStyle w:val="Heading2"/>
      </w:pPr>
      <w:r>
        <w:t xml:space="preserve">Sadara could be a significant swing factor</w:t>
      </w:r>
    </w:p>
    <w:p>
      <w:pPr>
        <w:pStyle w:val="FirstParagraph"/>
      </w:pPr>
      <w:r>
        <w:t xml:space="preserve">Dow stopped recognizing additional Sadara equity losses in Q1 after recorded losses reached the level of its relevant obligations and commitments. Management previously described Sadara’s challenge as primarily a leverage and balance-sheet problem rather than an operating problem.</w:t>
      </w:r>
    </w:p>
    <w:p>
      <w:pPr>
        <w:pStyle w:val="BodyText"/>
      </w:pPr>
      <w:r>
        <w:t xml:space="preserve">Former CEO Jim Fitterling had promised a midyear update on discussions with Saudi Aramco. Investors should listen for:</w:t>
      </w:r>
    </w:p>
    <w:p>
      <w:pPr>
        <w:pStyle w:val="Compact"/>
        <w:numPr>
          <w:ilvl w:val="0"/>
          <w:numId w:val="1013"/>
        </w:numPr>
      </w:pPr>
      <w:r>
        <w:t xml:space="preserve">Progress on a formal restructuring.</w:t>
      </w:r>
    </w:p>
    <w:p>
      <w:pPr>
        <w:pStyle w:val="Compact"/>
        <w:numPr>
          <w:ilvl w:val="0"/>
          <w:numId w:val="1013"/>
        </w:numPr>
      </w:pPr>
      <w:r>
        <w:t xml:space="preserve">Any change in Dow’s guarantees or annual cash commitments.</w:t>
      </w:r>
    </w:p>
    <w:p>
      <w:pPr>
        <w:pStyle w:val="Compact"/>
        <w:numPr>
          <w:ilvl w:val="0"/>
          <w:numId w:val="1013"/>
        </w:numPr>
      </w:pPr>
      <w:r>
        <w:t xml:space="preserve">The condition and restart timing of the assets.</w:t>
      </w:r>
    </w:p>
    <w:p>
      <w:pPr>
        <w:pStyle w:val="Compact"/>
        <w:numPr>
          <w:ilvl w:val="0"/>
          <w:numId w:val="1013"/>
        </w:numPr>
      </w:pPr>
      <w:r>
        <w:t xml:space="preserve">Whether Dow could contribute additional capital.</w:t>
      </w:r>
    </w:p>
    <w:p>
      <w:pPr>
        <w:pStyle w:val="Compact"/>
        <w:numPr>
          <w:ilvl w:val="0"/>
          <w:numId w:val="1013"/>
        </w:numPr>
      </w:pPr>
      <w:r>
        <w:t xml:space="preserve">The long-term strategic role of the joint venture.</w:t>
      </w:r>
    </w:p>
    <w:p>
      <w:pPr>
        <w:pStyle w:val="FirstParagraph"/>
      </w:pPr>
      <w:r>
        <w:t xml:space="preserve">A resolution that limits future cash exposure would be positive even if it produces an accounting charge. A vague or delayed update would leave an important overhang unresolved.</w:t>
      </w:r>
    </w:p>
    <w:bookmarkEnd w:id="21"/>
    <w:bookmarkStart w:id="22" w:name="first-report-under-ceo-karen-carter"/>
    <w:p>
      <w:pPr>
        <w:pStyle w:val="Heading2"/>
      </w:pPr>
      <w:r>
        <w:t xml:space="preserve">First report under CEO Karen Carter</w:t>
      </w:r>
    </w:p>
    <w:p>
      <w:pPr>
        <w:pStyle w:val="FirstParagraph"/>
      </w:pPr>
      <w:r>
        <w:t xml:space="preserve">Karen Carter became CEO on</w:t>
      </w:r>
      <w:r>
        <w:t xml:space="preserve"> </w:t>
      </w:r>
      <w:r>
        <w:rPr>
          <w:b/>
          <w:bCs/>
        </w:rPr>
        <w:t xml:space="preserve">July 1</w:t>
      </w:r>
      <w:r>
        <w:t xml:space="preserve">, with Jim Fitterling moving to executive chair. Her first earnings call as chief executive will be closely watched for changes in capital allocation, European restructuring, cost discipline and portfolio strategy.</w:t>
      </w:r>
    </w:p>
    <w:p>
      <w:pPr>
        <w:pStyle w:val="BodyText"/>
      </w:pPr>
      <w:r>
        <w:t xml:space="preserve">The transition appears designed to preserve continuity, but investors will want evidence that management remains willing to:</w:t>
      </w:r>
    </w:p>
    <w:p>
      <w:pPr>
        <w:pStyle w:val="Compact"/>
        <w:numPr>
          <w:ilvl w:val="0"/>
          <w:numId w:val="1014"/>
        </w:numPr>
      </w:pPr>
      <w:r>
        <w:t xml:space="preserve">Close structurally disadvantaged capacity.</w:t>
      </w:r>
    </w:p>
    <w:p>
      <w:pPr>
        <w:pStyle w:val="Compact"/>
        <w:numPr>
          <w:ilvl w:val="0"/>
          <w:numId w:val="1014"/>
        </w:numPr>
      </w:pPr>
      <w:r>
        <w:t xml:space="preserve">Prioritize free cash flow over volume.</w:t>
      </w:r>
    </w:p>
    <w:p>
      <w:pPr>
        <w:pStyle w:val="Compact"/>
        <w:numPr>
          <w:ilvl w:val="0"/>
          <w:numId w:val="1014"/>
        </w:numPr>
      </w:pPr>
      <w:r>
        <w:t xml:space="preserve">Deleverage during the earnings upswing.</w:t>
      </w:r>
    </w:p>
    <w:p>
      <w:pPr>
        <w:pStyle w:val="Compact"/>
        <w:numPr>
          <w:ilvl w:val="0"/>
          <w:numId w:val="1014"/>
        </w:numPr>
      </w:pPr>
      <w:r>
        <w:t xml:space="preserve">Continue cost actions despite the temporary market tailwind.</w:t>
      </w:r>
    </w:p>
    <w:p>
      <w:pPr>
        <w:pStyle w:val="Compact"/>
        <w:numPr>
          <w:ilvl w:val="0"/>
          <w:numId w:val="1014"/>
        </w:numPr>
      </w:pPr>
      <w:r>
        <w:t xml:space="preserve">Maintain discipline on the Alberta Path2Zero project.</w:t>
      </w:r>
    </w:p>
    <w:p>
      <w:pPr>
        <w:pStyle w:val="FirstParagraph"/>
      </w:pPr>
      <w:r>
        <w:t xml:space="preserve">The tone of the call may matter nearly as much as the reported numbers.</w:t>
      </w:r>
    </w:p>
    <w:bookmarkEnd w:id="22"/>
    <w:bookmarkStart w:id="23" w:name="stock-setup"/>
    <w:p>
      <w:pPr>
        <w:pStyle w:val="Heading2"/>
      </w:pPr>
      <w:r>
        <w:t xml:space="preserve">Stock setup</w:t>
      </w:r>
    </w:p>
    <w:p>
      <w:pPr>
        <w:pStyle w:val="FirstParagraph"/>
      </w:pPr>
      <w:r>
        <w:t xml:space="preserve">Dow closed at</w:t>
      </w:r>
      <w:r>
        <w:t xml:space="preserve"> </w:t>
      </w:r>
      <w:r>
        <w:rPr>
          <w:b/>
          <w:bCs/>
        </w:rPr>
        <w:t xml:space="preserve">$31.26 on July 22</w:t>
      </w:r>
      <w:r>
        <w:t xml:space="preserve">:</w:t>
      </w:r>
    </w:p>
    <w:p>
      <w:pPr>
        <w:pStyle w:val="Compact"/>
        <w:numPr>
          <w:ilvl w:val="0"/>
          <w:numId w:val="1015"/>
        </w:numPr>
      </w:pPr>
      <w:r>
        <w:t xml:space="preserve">Up approximately</w:t>
      </w:r>
      <w:r>
        <w:t xml:space="preserve"> </w:t>
      </w:r>
      <w:r>
        <w:rPr>
          <w:b/>
          <w:bCs/>
        </w:rPr>
        <w:t xml:space="preserve">29% from the first trading day of 2026</w:t>
      </w:r>
      <w:r>
        <w:t xml:space="preserve">.</w:t>
      </w:r>
    </w:p>
    <w:p>
      <w:pPr>
        <w:pStyle w:val="Compact"/>
        <w:numPr>
          <w:ilvl w:val="0"/>
          <w:numId w:val="1015"/>
        </w:numPr>
      </w:pPr>
      <w:r>
        <w:t xml:space="preserve">Up approximately</w:t>
      </w:r>
      <w:r>
        <w:t xml:space="preserve"> </w:t>
      </w:r>
      <w:r>
        <w:rPr>
          <w:b/>
          <w:bCs/>
        </w:rPr>
        <w:t xml:space="preserve">14% since June 30</w:t>
      </w:r>
      <w:r>
        <w:t xml:space="preserve">.</w:t>
      </w:r>
    </w:p>
    <w:p>
      <w:pPr>
        <w:pStyle w:val="Compact"/>
        <w:numPr>
          <w:ilvl w:val="0"/>
          <w:numId w:val="1015"/>
        </w:numPr>
      </w:pPr>
      <w:r>
        <w:t xml:space="preserve">Still approximately</w:t>
      </w:r>
      <w:r>
        <w:t xml:space="preserve"> </w:t>
      </w:r>
      <w:r>
        <w:rPr>
          <w:b/>
          <w:bCs/>
        </w:rPr>
        <w:t xml:space="preserve">25% below its 2026 high of $41.87</w:t>
      </w:r>
      <w:r>
        <w:t xml:space="preserve">.</w:t>
      </w:r>
    </w:p>
    <w:p>
      <w:pPr>
        <w:pStyle w:val="FirstParagraph"/>
      </w:pPr>
      <w:r>
        <w:t xml:space="preserve">The stock has recently traded partly as a proxy for Middle Eastern supply conditions. This creates a challenging setup: renewed geopolitical disruption may help near-term earnings, but investors remain skeptical that current margins are sustainable.</w:t>
      </w:r>
    </w:p>
    <w:p>
      <w:pPr>
        <w:pStyle w:val="BodyText"/>
      </w:pPr>
      <w:r>
        <w:t xml:space="preserve">The shares could therefore react more to changes in implied 2027 earnings power than to a conventional Q2 EPS beat.</w:t>
      </w:r>
    </w:p>
    <w:bookmarkEnd w:id="23"/>
    <w:bookmarkStart w:id="27" w:name="scenario-framework"/>
    <w:p>
      <w:pPr>
        <w:pStyle w:val="Heading2"/>
      </w:pPr>
      <w:r>
        <w:t xml:space="preserve">Scenario framework</w:t>
      </w:r>
    </w:p>
    <w:bookmarkStart w:id="24" w:name="bull-case"/>
    <w:p>
      <w:pPr>
        <w:pStyle w:val="Heading3"/>
      </w:pPr>
      <w:r>
        <w:t xml:space="preserve">Bull case</w:t>
      </w:r>
    </w:p>
    <w:p>
      <w:pPr>
        <w:pStyle w:val="Compact"/>
        <w:numPr>
          <w:ilvl w:val="0"/>
          <w:numId w:val="1016"/>
        </w:numPr>
      </w:pPr>
      <w:r>
        <w:t xml:space="preserve">Operating EBITDA clearly exceeds $2.2 billion.</w:t>
      </w:r>
    </w:p>
    <w:p>
      <w:pPr>
        <w:pStyle w:val="Compact"/>
        <w:numPr>
          <w:ilvl w:val="0"/>
          <w:numId w:val="1016"/>
        </w:numPr>
      </w:pPr>
      <w:r>
        <w:t xml:space="preserve">The June polyethylene increase is substantially realized.</w:t>
      </w:r>
    </w:p>
    <w:p>
      <w:pPr>
        <w:pStyle w:val="Compact"/>
        <w:numPr>
          <w:ilvl w:val="0"/>
          <w:numId w:val="1016"/>
        </w:numPr>
      </w:pPr>
      <w:r>
        <w:t xml:space="preserve">Q3 EBITDA guidance is around or above Q2.</w:t>
      </w:r>
    </w:p>
    <w:p>
      <w:pPr>
        <w:pStyle w:val="Compact"/>
        <w:numPr>
          <w:ilvl w:val="0"/>
          <w:numId w:val="1016"/>
        </w:numPr>
      </w:pPr>
      <w:r>
        <w:t xml:space="preserve">No material demand destruction or customer destocking emerges.</w:t>
      </w:r>
    </w:p>
    <w:p>
      <w:pPr>
        <w:pStyle w:val="Compact"/>
        <w:numPr>
          <w:ilvl w:val="0"/>
          <w:numId w:val="1016"/>
        </w:numPr>
      </w:pPr>
      <w:r>
        <w:t xml:space="preserve">Self-help benefits remain on schedule.</w:t>
      </w:r>
    </w:p>
    <w:p>
      <w:pPr>
        <w:pStyle w:val="Compact"/>
        <w:numPr>
          <w:ilvl w:val="0"/>
          <w:numId w:val="1016"/>
        </w:numPr>
      </w:pPr>
      <w:r>
        <w:t xml:space="preserve">Management provides a credible path to stronger second-half free cash flow and deleveraging.</w:t>
      </w:r>
    </w:p>
    <w:p>
      <w:pPr>
        <w:pStyle w:val="Compact"/>
        <w:numPr>
          <w:ilvl w:val="0"/>
          <w:numId w:val="1016"/>
        </w:numPr>
      </w:pPr>
      <w:r>
        <w:t xml:space="preserve">Sadara exposure is reduced or capped.</w:t>
      </w:r>
    </w:p>
    <w:p>
      <w:pPr>
        <w:pStyle w:val="FirstParagraph"/>
      </w:pPr>
      <w:r>
        <w:t xml:space="preserve">This would suggest that consensus is underestimating both the duration of the supply disruption and Dow’s structural earnings improvement.</w:t>
      </w:r>
    </w:p>
    <w:bookmarkEnd w:id="24"/>
    <w:bookmarkStart w:id="25" w:name="base-case"/>
    <w:p>
      <w:pPr>
        <w:pStyle w:val="Heading3"/>
      </w:pPr>
      <w:r>
        <w:t xml:space="preserve">Base case</w:t>
      </w:r>
    </w:p>
    <w:p>
      <w:pPr>
        <w:pStyle w:val="Compact"/>
        <w:numPr>
          <w:ilvl w:val="0"/>
          <w:numId w:val="1017"/>
        </w:numPr>
      </w:pPr>
      <w:r>
        <w:t xml:space="preserve">Revenue, EBITDA and EPS are close to consensus.</w:t>
      </w:r>
    </w:p>
    <w:p>
      <w:pPr>
        <w:pStyle w:val="Compact"/>
        <w:numPr>
          <w:ilvl w:val="0"/>
          <w:numId w:val="1017"/>
        </w:numPr>
      </w:pPr>
      <w:r>
        <w:t xml:space="preserve">Q3 is broadly similar to Q2 but includes maintenance and seasonal headwinds.</w:t>
      </w:r>
    </w:p>
    <w:p>
      <w:pPr>
        <w:pStyle w:val="Compact"/>
        <w:numPr>
          <w:ilvl w:val="0"/>
          <w:numId w:val="1017"/>
        </w:numPr>
      </w:pPr>
      <w:r>
        <w:t xml:space="preserve">Pricing remains favorable, although incremental increases become harder to achieve.</w:t>
      </w:r>
    </w:p>
    <w:p>
      <w:pPr>
        <w:pStyle w:val="Compact"/>
        <w:numPr>
          <w:ilvl w:val="0"/>
          <w:numId w:val="1017"/>
        </w:numPr>
      </w:pPr>
      <w:r>
        <w:t xml:space="preserve">Working capital limits near-term cash generation.</w:t>
      </w:r>
    </w:p>
    <w:p>
      <w:pPr>
        <w:pStyle w:val="Compact"/>
        <w:numPr>
          <w:ilvl w:val="0"/>
          <w:numId w:val="1017"/>
        </w:numPr>
      </w:pPr>
      <w:r>
        <w:t xml:space="preserve">Cost savings remain on track, while Sadara discussions continue.</w:t>
      </w:r>
    </w:p>
    <w:p>
      <w:pPr>
        <w:pStyle w:val="FirstParagraph"/>
      </w:pPr>
      <w:r>
        <w:t xml:space="preserve">The stock reaction could be muted because the $2.2 billion EBITDA result has already been preannounced.</w:t>
      </w:r>
    </w:p>
    <w:bookmarkEnd w:id="25"/>
    <w:bookmarkStart w:id="26" w:name="bear-case"/>
    <w:p>
      <w:pPr>
        <w:pStyle w:val="Heading3"/>
      </w:pPr>
      <w:r>
        <w:t xml:space="preserve">Bear case</w:t>
      </w:r>
    </w:p>
    <w:p>
      <w:pPr>
        <w:pStyle w:val="Compact"/>
        <w:numPr>
          <w:ilvl w:val="0"/>
          <w:numId w:val="1018"/>
        </w:numPr>
      </w:pPr>
      <w:r>
        <w:t xml:space="preserve">Dow meets or modestly beats Q2 expectations but guides to a material sequential EBITDA decline.</w:t>
      </w:r>
    </w:p>
    <w:p>
      <w:pPr>
        <w:pStyle w:val="Compact"/>
        <w:numPr>
          <w:ilvl w:val="0"/>
          <w:numId w:val="1018"/>
        </w:numPr>
      </w:pPr>
      <w:r>
        <w:t xml:space="preserve">June pricing fails to hold or prompts destocking.</w:t>
      </w:r>
    </w:p>
    <w:p>
      <w:pPr>
        <w:pStyle w:val="Compact"/>
        <w:numPr>
          <w:ilvl w:val="0"/>
          <w:numId w:val="1018"/>
        </w:numPr>
      </w:pPr>
      <w:r>
        <w:t xml:space="preserve">Automotive, construction or consumer demand weakens.</w:t>
      </w:r>
    </w:p>
    <w:p>
      <w:pPr>
        <w:pStyle w:val="Compact"/>
        <w:numPr>
          <w:ilvl w:val="0"/>
          <w:numId w:val="1018"/>
        </w:numPr>
      </w:pPr>
      <w:r>
        <w:t xml:space="preserve">Feedstock, freight and turnaround expenses rise faster than expected.</w:t>
      </w:r>
    </w:p>
    <w:p>
      <w:pPr>
        <w:pStyle w:val="Compact"/>
        <w:numPr>
          <w:ilvl w:val="0"/>
          <w:numId w:val="1018"/>
        </w:numPr>
      </w:pPr>
      <w:r>
        <w:t xml:space="preserve">Free cash flow disappoints and deleveraging is delayed.</w:t>
      </w:r>
    </w:p>
    <w:p>
      <w:pPr>
        <w:pStyle w:val="Compact"/>
        <w:numPr>
          <w:ilvl w:val="0"/>
          <w:numId w:val="1018"/>
        </w:numPr>
      </w:pPr>
      <w:r>
        <w:t xml:space="preserve">Sadara requires additional support or remains unresolved.</w:t>
      </w:r>
    </w:p>
    <w:p>
      <w:pPr>
        <w:pStyle w:val="FirstParagraph"/>
      </w:pPr>
      <w:r>
        <w:t xml:space="preserve">That outcome would reinforce the view that Q2 represents a geopolitical earnings spike rather than a sustainable recovery.</w:t>
      </w:r>
    </w:p>
    <w:bookmarkEnd w:id="26"/>
    <w:bookmarkEnd w:id="27"/>
    <w:bookmarkStart w:id="28" w:name="questions-investors-should-want-answered"/>
    <w:p>
      <w:pPr>
        <w:pStyle w:val="Heading2"/>
      </w:pPr>
      <w:r>
        <w:t xml:space="preserve">Questions investors should want answered</w:t>
      </w:r>
    </w:p>
    <w:p>
      <w:pPr>
        <w:pStyle w:val="Compact"/>
        <w:numPr>
          <w:ilvl w:val="0"/>
          <w:numId w:val="1019"/>
        </w:numPr>
      </w:pPr>
      <w:r>
        <w:t xml:space="preserve">How much of the announced June polyethylene increase was realized?</w:t>
      </w:r>
    </w:p>
    <w:p>
      <w:pPr>
        <w:pStyle w:val="Compact"/>
        <w:numPr>
          <w:ilvl w:val="0"/>
          <w:numId w:val="1019"/>
        </w:numPr>
      </w:pPr>
      <w:r>
        <w:t xml:space="preserve">What polyethylene-price assumptions are embedded in Q3 guidance?</w:t>
      </w:r>
    </w:p>
    <w:p>
      <w:pPr>
        <w:pStyle w:val="Compact"/>
        <w:numPr>
          <w:ilvl w:val="0"/>
          <w:numId w:val="1019"/>
        </w:numPr>
      </w:pPr>
      <w:r>
        <w:t xml:space="preserve">Can Q3 operating EBITDA remain near the Q2 level?</w:t>
      </w:r>
    </w:p>
    <w:p>
      <w:pPr>
        <w:pStyle w:val="Compact"/>
        <w:numPr>
          <w:ilvl w:val="0"/>
          <w:numId w:val="1019"/>
        </w:numPr>
      </w:pPr>
      <w:r>
        <w:t xml:space="preserve">How have order books and cancellations changed since June?</w:t>
      </w:r>
    </w:p>
    <w:p>
      <w:pPr>
        <w:pStyle w:val="Compact"/>
        <w:numPr>
          <w:ilvl w:val="0"/>
          <w:numId w:val="1019"/>
        </w:numPr>
      </w:pPr>
      <w:r>
        <w:t xml:space="preserve">How much Q2 EBITDA came from pricing versus cost savings and volume?</w:t>
      </w:r>
    </w:p>
    <w:p>
      <w:pPr>
        <w:pStyle w:val="Compact"/>
        <w:numPr>
          <w:ilvl w:val="0"/>
          <w:numId w:val="1019"/>
        </w:numPr>
      </w:pPr>
      <w:r>
        <w:t xml:space="preserve">Are export polyethylene margins now comparable to domestic margins?</w:t>
      </w:r>
    </w:p>
    <w:p>
      <w:pPr>
        <w:pStyle w:val="Compact"/>
        <w:numPr>
          <w:ilvl w:val="0"/>
          <w:numId w:val="1019"/>
        </w:numPr>
      </w:pPr>
      <w:r>
        <w:t xml:space="preserve">What is the remaining 2026 Transform to Outperform benefit?</w:t>
      </w:r>
    </w:p>
    <w:p>
      <w:pPr>
        <w:pStyle w:val="Compact"/>
        <w:numPr>
          <w:ilvl w:val="0"/>
          <w:numId w:val="1019"/>
        </w:numPr>
      </w:pPr>
      <w:r>
        <w:t xml:space="preserve">When will higher EBITDA begin converting into meaningful free cash flow?</w:t>
      </w:r>
    </w:p>
    <w:p>
      <w:pPr>
        <w:pStyle w:val="Compact"/>
        <w:numPr>
          <w:ilvl w:val="0"/>
          <w:numId w:val="1019"/>
        </w:numPr>
      </w:pPr>
      <w:r>
        <w:t xml:space="preserve">How much debt does Dow expect to repay over the next 12 months?</w:t>
      </w:r>
    </w:p>
    <w:p>
      <w:pPr>
        <w:pStyle w:val="Compact"/>
        <w:numPr>
          <w:ilvl w:val="0"/>
          <w:numId w:val="1019"/>
        </w:numPr>
      </w:pPr>
      <w:r>
        <w:t xml:space="preserve">What is the status of the Sadara restructuring?</w:t>
      </w:r>
    </w:p>
    <w:p>
      <w:pPr>
        <w:pStyle w:val="Compact"/>
        <w:numPr>
          <w:ilvl w:val="0"/>
          <w:numId w:val="1019"/>
        </w:numPr>
      </w:pPr>
      <w:r>
        <w:t xml:space="preserve">Has the renewed Middle Eastern escalation affected Dow’s regional assets or joint ventures?</w:t>
      </w:r>
    </w:p>
    <w:p>
      <w:pPr>
        <w:pStyle w:val="Compact"/>
        <w:numPr>
          <w:ilvl w:val="0"/>
          <w:numId w:val="1019"/>
        </w:numPr>
      </w:pPr>
      <w:r>
        <w:t xml:space="preserve">Does management still expect the first phase of the Alberta project to start by the end of 2029?</w:t>
      </w:r>
    </w:p>
    <w:bookmarkEnd w:id="28"/>
    <w:bookmarkStart w:id="29" w:name="bottom-line"/>
    <w:p>
      <w:pPr>
        <w:pStyle w:val="Heading2"/>
      </w:pPr>
      <w:r>
        <w:t xml:space="preserve">Bottom line</w:t>
      </w:r>
    </w:p>
    <w:p>
      <w:pPr>
        <w:pStyle w:val="FirstParagraph"/>
      </w:pPr>
      <w:r>
        <w:t xml:space="preserve">Dow should report a dramatic sequential earnings recovery, and the company has already established a relatively high bar with its</w:t>
      </w:r>
      <w:r>
        <w:t xml:space="preserve"> </w:t>
      </w:r>
      <w:r>
        <w:rPr>
          <w:b/>
          <w:bCs/>
        </w:rPr>
        <w:t xml:space="preserve">$2.2 billion operating EBITDA update</w:t>
      </w:r>
      <w:r>
        <w:t xml:space="preserve">. The key is not whether Q2 is strong—it almost certainly will be—but whether management can demonstrate that the recovery extends into Q3 and is being reinforced by durable cost and portfolio improvements.</w:t>
      </w:r>
    </w:p>
    <w:p>
      <w:pPr>
        <w:pStyle w:val="BodyText"/>
      </w:pPr>
      <w:r>
        <w:t xml:space="preserve">The most bullish combination would be</w:t>
      </w:r>
      <w:r>
        <w:t xml:space="preserve"> </w:t>
      </w:r>
      <w:r>
        <w:rPr>
          <w:b/>
          <w:bCs/>
        </w:rPr>
        <w:t xml:space="preserve">pricing realization, stable demand, Q3 EBITDA resilience and accelerating free cash flow</w:t>
      </w:r>
      <w:r>
        <w:t xml:space="preserve">. Conversely, a headline beat accompanied by weaker guidance or poor cash conversion would indicate that investors are looking at peak rather than normalized earnings.</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2026-07-23T00:11:23Z</dcterms:created>
  <dcterms:modified xsi:type="dcterms:W3CDTF">2026-07-23T00:11:23Z</dcterms:modified>
</cp:coreProperties>
</file>

<file path=docProps/custom.xml><?xml version="1.0" encoding="utf-8"?>
<Properties xmlns="http://schemas.openxmlformats.org/officeDocument/2006/custom-properties" xmlns:vt="http://schemas.openxmlformats.org/officeDocument/2006/docPropsVTypes"/>
</file>