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w-earnings-predictions--2026-07-23"/>
    <w:p>
      <w:pPr>
        <w:pStyle w:val="Heading1"/>
      </w:pPr>
      <w:r>
        <w:t xml:space="preserve">DOW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~$12.15B vs. cons $11.95B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~$2.32B vs. cons $2.20B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 vs. cons $1.26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operating EBITDA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~$2.15B vs. cons $1.90B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self-help EBITDA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~$1.10B vs. cons $1.10B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Q2 EBITDA/EPS beat plus a 3Q EBITDA outlook of ~</w:t>
            </w:r>
            <m:oMath>
              <m:r>
                <m:t>2.15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1.90B consensus should drive upward 2026 and 2027 earnings revisions; the key incremental support is that a ~</w:t>
            </w:r>
            <m:oMath>
              <m:r>
                <m:t>2.15</m:t>
              </m:r>
              <m:r>
                <m:t>B</m:t>
              </m:r>
              <m:r>
                <m:t>3</m:t>
              </m:r>
              <m:r>
                <m:t>Q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b</m:t>
              </m:r>
              <m:r>
                <m:t>e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l</m:t>
              </m:r>
              <m:r>
                <m:t>y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2.32B Q2 result despite normal seasonality, countering the market's ~$1.90B normalization assumption.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2026-07-23T00:11:02Z</dcterms:created>
  <dcterms:modified xsi:type="dcterms:W3CDTF">2026-07-23T00:11:02Z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