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dow-inc-nyse-dow--2q26-earnings-preview"/>
    <w:p>
      <w:pPr>
        <w:pStyle w:val="Heading1"/>
      </w:pPr>
      <w:r>
        <w:t xml:space="preserve">Dow Inc. (NYSE: DOW) — 2Q26 Earnings Preview</w:t>
      </w:r>
    </w:p>
    <w:p>
      <w:pPr>
        <w:pStyle w:val="BlockText"/>
      </w:pPr>
      <w:r>
        <w:rPr>
          <w:b/>
          <w:bCs/>
        </w:rPr>
        <w:t xml:space="preserve">Date clarification:</w:t>
      </w:r>
      <w:r>
        <w:t xml:space="preserve"> </w:t>
      </w:r>
      <w:r>
        <w:t xml:space="preserve">Dow is scheduled to report</w:t>
      </w:r>
      <w:r>
        <w:t xml:space="preserve"> </w:t>
      </w:r>
      <w:r>
        <w:rPr>
          <w:b/>
          <w:bCs/>
        </w:rPr>
        <w:t xml:space="preserve">today, Thursday, July 23, 2026, before the U.S. market opens</w:t>
      </w:r>
      <w:r>
        <w:t xml:space="preserve">—not tomorrow. This preview is framed around the setup immediately ahead of that release and the associated</w:t>
      </w:r>
      <w:r>
        <w:t xml:space="preserve"> </w:t>
      </w:r>
      <w:r>
        <w:rPr>
          <w:b/>
          <w:bCs/>
        </w:rPr>
        <w:t xml:space="preserve">2026Q2 earnings call</w:t>
      </w:r>
      <w:r>
        <w:t xml:space="preserve">.</w:t>
      </w:r>
    </w:p>
    <w:bookmarkStart w:id="9" w:name="bottom-line"/>
    <w:p>
      <w:pPr>
        <w:pStyle w:val="Heading2"/>
      </w:pPr>
      <w:r>
        <w:t xml:space="preserve">Bottom line</w:t>
      </w:r>
    </w:p>
    <w:p>
      <w:pPr>
        <w:pStyle w:val="FirstParagraph"/>
      </w:pPr>
      <w:r>
        <w:t xml:space="preserve">Dow enters 2Q earnings with a sharply improved near-term earnings setup versus 1Q, driven principally by petrochemical pricing, tighter global supply, higher utilization in its advantaged Americas assets, and early cost-program benefits. However, the crucial issue is no longer whether EBITDA rebounds sequentially—management explicitly guided to it. The debate is whether Dow can</w:t>
      </w:r>
      <w:r>
        <w:t xml:space="preserve"> </w:t>
      </w:r>
      <w:r>
        <w:rPr>
          <w:b/>
          <w:bCs/>
        </w:rPr>
        <w:t xml:space="preserve">exceed its $2.0 billion EBITDA outlook</w:t>
      </w:r>
      <w:r>
        <w:t xml:space="preserve"> </w:t>
      </w:r>
      <w:r>
        <w:t xml:space="preserve">and, more importantly, sustain a higher earnings base if Middle East-related supply disruption fades.</w:t>
      </w:r>
    </w:p>
    <w:p>
      <w:pPr>
        <w:pStyle w:val="BodyText"/>
      </w:pPr>
      <w:r>
        <w:t xml:space="preserve">The stock appears to reflect substantial skepticism. DOW closed at</w:t>
      </w:r>
      <w:r>
        <w:t xml:space="preserve"> </w:t>
      </w:r>
      <w:r>
        <w:rPr>
          <w:b/>
          <w:bCs/>
        </w:rPr>
        <w:t xml:space="preserve">$31.26 on July 22</w:t>
      </w:r>
      <w:r>
        <w:t xml:space="preserve">, down roughly</w:t>
      </w:r>
      <w:r>
        <w:t xml:space="preserve"> </w:t>
      </w:r>
      <w:r>
        <w:rPr>
          <w:b/>
          <w:bCs/>
        </w:rPr>
        <w:t xml:space="preserve">19% since April 22</w:t>
      </w:r>
      <w:r>
        <w:t xml:space="preserve"> </w:t>
      </w:r>
      <w:r>
        <w:t xml:space="preserve">and about</w:t>
      </w:r>
      <w:r>
        <w:t xml:space="preserve"> </w:t>
      </w:r>
      <w:r>
        <w:rPr>
          <w:b/>
          <w:bCs/>
        </w:rPr>
        <w:t xml:space="preserve">23% below its May 5 closing high</w:t>
      </w:r>
      <w:r>
        <w:t xml:space="preserve">. The market’s concern is that current pricing upside is transient and that Dow’s underlying cycle, balance sheet, and credit profile remain challenged.</w:t>
      </w:r>
    </w:p>
    <w:p>
      <w:pPr>
        <w:pStyle w:val="BodyText"/>
      </w:pPr>
      <w:r>
        <w:t xml:space="preserve">My read:</w:t>
      </w:r>
      <w:r>
        <w:t xml:space="preserve"> </w:t>
      </w:r>
      <w:r>
        <w:rPr>
          <w:b/>
          <w:bCs/>
        </w:rPr>
        <w:t xml:space="preserve">results should be meaningfully better sequentially, but the stock reaction will hinge on the durability of pricing/margins, the 3Q outlook, and whether the new CEO offers a credible path to cash generation and deleveraging.</w:t>
      </w:r>
    </w:p>
    <w:p>
      <w:r>
        <w:pict>
          <v:rect style="width:0;height:1.5pt" o:hralign="center" o:hrstd="t" o:hr="t"/>
        </w:pict>
      </w:r>
    </w:p>
    <w:bookmarkEnd w:id="9"/>
    <w:bookmarkStart w:id="10" w:name="the-numbers-that-matter"/>
    <w:p>
      <w:pPr>
        <w:pStyle w:val="Heading2"/>
      </w:pPr>
      <w:r>
        <w:t xml:space="preserve">The numbers that matter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1Q26 actual</w:t>
            </w:r>
          </w:p>
        </w:tc>
        <w:tc>
          <w:tcPr/>
          <w:p>
            <w:pPr>
              <w:pStyle w:val="Compact"/>
              <w:jc w:val="right"/>
            </w:pPr>
            <w:r>
              <w:t xml:space="preserve">Dow’s 2Q26 outlook</w:t>
            </w:r>
          </w:p>
        </w:tc>
        <w:tc>
          <w:tcPr/>
          <w:p>
            <w:pPr>
              <w:pStyle w:val="Compact"/>
              <w:jc w:val="right"/>
            </w:pPr>
            <w:r>
              <w:t xml:space="preserve">Street expectation entering the print</w:t>
            </w:r>
          </w:p>
        </w:tc>
      </w:tr>
      <w:tr>
        <w:tc>
          <w:tcPr/>
          <w:p>
            <w:pPr>
              <w:pStyle w:val="Compact"/>
            </w:pPr>
            <w:r>
              <w:t xml:space="preserve">Net sales</w:t>
            </w:r>
          </w:p>
        </w:tc>
        <w:tc>
          <w:tcPr/>
          <w:p>
            <w:pPr>
              <w:pStyle w:val="Compact"/>
              <w:jc w:val="right"/>
            </w:pPr>
            <w:r>
              <w:t xml:space="preserve">$9.8B</w:t>
            </w:r>
          </w:p>
        </w:tc>
        <w:tc>
          <w:tcPr/>
          <w:p>
            <w:pPr>
              <w:pStyle w:val="Compact"/>
              <w:jc w:val="right"/>
            </w:pPr>
            <w:r>
              <w:rPr>
                <w:b/>
                <w:bCs/>
              </w:rPr>
              <w:t xml:space="preserve">~$12.0B</w:t>
            </w:r>
          </w:p>
        </w:tc>
        <w:tc>
          <w:tcPr/>
          <w:p>
            <w:pPr>
              <w:pStyle w:val="Compact"/>
              <w:jc w:val="right"/>
            </w:pPr>
            <w:r>
              <w:rPr>
                <w:b/>
                <w:bCs/>
              </w:rPr>
              <w:t xml:space="preserve">$11.95B</w:t>
            </w:r>
          </w:p>
        </w:tc>
      </w:tr>
      <w:tr>
        <w:tc>
          <w:tcPr/>
          <w:p>
            <w:pPr>
              <w:pStyle w:val="Compact"/>
            </w:pPr>
            <w:r>
              <w:t xml:space="preserve">Operating EBITDA</w:t>
            </w:r>
          </w:p>
        </w:tc>
        <w:tc>
          <w:tcPr/>
          <w:p>
            <w:pPr>
              <w:pStyle w:val="Compact"/>
              <w:jc w:val="right"/>
            </w:pPr>
            <w:r>
              <w:t xml:space="preserve">$873M</w:t>
            </w:r>
          </w:p>
        </w:tc>
        <w:tc>
          <w:tcPr/>
          <w:p>
            <w:pPr>
              <w:pStyle w:val="Compact"/>
              <w:jc w:val="right"/>
            </w:pPr>
            <w:r>
              <w:rPr>
                <w:b/>
                <w:bCs/>
              </w:rPr>
              <w:t xml:space="preserve">~$2.0B</w:t>
            </w:r>
          </w:p>
        </w:tc>
        <w:tc>
          <w:tcPr/>
          <w:p>
            <w:pPr>
              <w:pStyle w:val="Compact"/>
              <w:jc w:val="right"/>
            </w:pPr>
            <w:r>
              <w:rPr>
                <w:b/>
                <w:bCs/>
              </w:rPr>
              <w:t xml:space="preserve">$2.2B</w:t>
            </w:r>
          </w:p>
        </w:tc>
      </w:tr>
      <w:tr>
        <w:tc>
          <w:tcPr/>
          <w:p>
            <w:pPr>
              <w:pStyle w:val="Compact"/>
            </w:pPr>
            <w:r>
              <w:t xml:space="preserve">Operating EPS</w:t>
            </w:r>
          </w:p>
        </w:tc>
        <w:tc>
          <w:tcPr/>
          <w:p>
            <w:pPr>
              <w:pStyle w:val="Compact"/>
              <w:jc w:val="right"/>
            </w:pPr>
            <w:r>
              <w:t xml:space="preserve">$(0.14)</w:t>
            </w:r>
          </w:p>
        </w:tc>
        <w:tc>
          <w:tcPr/>
          <w:p>
            <w:pPr>
              <w:pStyle w:val="Compact"/>
              <w:jc w:val="right"/>
            </w:pPr>
            <w:r>
              <w:t xml:space="preserve">Not formally guided</w:t>
            </w:r>
          </w:p>
        </w:tc>
        <w:tc>
          <w:tcPr/>
          <w:p>
            <w:pPr>
              <w:pStyle w:val="Compact"/>
              <w:jc w:val="right"/>
            </w:pPr>
            <w:r>
              <w:rPr>
                <w:b/>
                <w:bCs/>
              </w:rPr>
              <w:t xml:space="preserve">$1.26</w:t>
            </w:r>
          </w:p>
        </w:tc>
      </w:tr>
    </w:tbl>
    <w:p>
      <w:pPr>
        <w:pStyle w:val="BodyText"/>
      </w:pPr>
      <w:r>
        <w:t xml:space="preserve">Dow’s own outlook implies sales growth of about</w:t>
      </w:r>
      <w:r>
        <w:t xml:space="preserve"> </w:t>
      </w:r>
      <w:r>
        <w:rPr>
          <w:b/>
          <w:bCs/>
        </w:rPr>
        <w:t xml:space="preserve">23% sequentially</w:t>
      </w:r>
      <w:r>
        <w:t xml:space="preserve"> </w:t>
      </w:r>
      <w:r>
        <w:t xml:space="preserve">and EBITDA growth of about</w:t>
      </w:r>
      <w:r>
        <w:t xml:space="preserve"> </w:t>
      </w:r>
      <w:r>
        <w:rPr>
          <w:b/>
          <w:bCs/>
        </w:rPr>
        <w:t xml:space="preserve">129% sequentially</w:t>
      </w:r>
      <w:r>
        <w:t xml:space="preserve">. But consensus EBITDA is already</w:t>
      </w:r>
      <w:r>
        <w:t xml:space="preserve"> </w:t>
      </w:r>
      <w:r>
        <w:rPr>
          <w:b/>
          <w:bCs/>
        </w:rPr>
        <w:t xml:space="preserve">10% above</w:t>
      </w:r>
      <w:r>
        <w:t xml:space="preserve"> </w:t>
      </w:r>
      <w:r>
        <w:t xml:space="preserve">the company’s stated $2.0B outlook.</w:t>
      </w:r>
    </w:p>
    <w:p>
      <w:pPr>
        <w:pStyle w:val="BodyText"/>
      </w:pPr>
      <w:r>
        <w:rPr>
          <w:b/>
          <w:bCs/>
        </w:rPr>
        <w:t xml:space="preserve">Implication:</w:t>
      </w:r>
      <w:r>
        <w:t xml:space="preserve"> </w:t>
      </w:r>
      <w:r>
        <w:t xml:space="preserve">A “beat” against 1Q or against the company’s $2.0B guide may not be enough. Investors will want evidence that the upside embedded in unmodeled May pricing actions, higher operating rates, and cost savings can close or exceed the gap to the $2.2B Street number.</w:t>
      </w:r>
    </w:p>
    <w:p>
      <w:r>
        <w:pict>
          <v:rect style="width:0;height:1.5pt" o:hralign="center" o:hrstd="t" o:hr="t"/>
        </w:pict>
      </w:r>
    </w:p>
    <w:bookmarkEnd w:id="10"/>
    <w:bookmarkStart w:id="11" w:name="X399f875e25ba301bdbbad9b32bbc3d8063b786d"/>
    <w:p>
      <w:pPr>
        <w:pStyle w:val="Heading2"/>
      </w:pPr>
      <w:r>
        <w:t xml:space="preserve">What management has already told investors</w:t>
      </w:r>
    </w:p>
    <w:p>
      <w:pPr>
        <w:pStyle w:val="FirstParagraph"/>
      </w:pPr>
      <w:r>
        <w:t xml:space="preserve">At its April 23 earnings call, Dow guided to approximately</w:t>
      </w:r>
      <w:r>
        <w:t xml:space="preserve"> </w:t>
      </w:r>
      <w:r>
        <w:rPr>
          <w:b/>
          <w:bCs/>
        </w:rPr>
        <w:t xml:space="preserve">$12B of 2Q revenue and $2B of operating EBITDA</w:t>
      </w:r>
      <w:r>
        <w:t xml:space="preserve">. The bridge was expected to be driven by:</w:t>
      </w:r>
    </w:p>
    <w:p>
      <w:pPr>
        <w:pStyle w:val="Compact"/>
        <w:numPr>
          <w:ilvl w:val="0"/>
          <w:numId w:val="1001"/>
        </w:numPr>
      </w:pPr>
      <w:r>
        <w:t xml:space="preserve">Higher prices and integrated margins across regions and businesses;</w:t>
      </w:r>
    </w:p>
    <w:p>
      <w:pPr>
        <w:pStyle w:val="Compact"/>
        <w:numPr>
          <w:ilvl w:val="0"/>
          <w:numId w:val="1001"/>
        </w:numPr>
      </w:pPr>
      <w:r>
        <w:t xml:space="preserve">Improved asset utilization and normal seasonal demand;</w:t>
      </w:r>
    </w:p>
    <w:p>
      <w:pPr>
        <w:pStyle w:val="Compact"/>
        <w:numPr>
          <w:ilvl w:val="0"/>
          <w:numId w:val="1001"/>
        </w:numPr>
      </w:pPr>
      <w:r>
        <w:t xml:space="preserve">Continued cost reduction;</w:t>
      </w:r>
    </w:p>
    <w:p>
      <w:pPr>
        <w:pStyle w:val="Compact"/>
        <w:numPr>
          <w:ilvl w:val="0"/>
          <w:numId w:val="1001"/>
        </w:numPr>
      </w:pPr>
      <w:r>
        <w:t xml:space="preserve">Partially offset by higher feedstock/energy costs, maintenance, and lower licensing revenue.</w:t>
      </w:r>
    </w:p>
    <w:p>
      <w:pPr>
        <w:pStyle w:val="FirstParagraph"/>
      </w:pPr>
      <w:r>
        <w:t xml:space="preserve">The centerpiece is</w:t>
      </w:r>
      <w:r>
        <w:t xml:space="preserve"> </w:t>
      </w:r>
      <w:r>
        <w:rPr>
          <w:b/>
          <w:bCs/>
        </w:rPr>
        <w:t xml:space="preserve">Packaging &amp; Specialty Plastics (P&amp;SP)</w:t>
      </w:r>
      <w:r>
        <w:t xml:space="preserve">. Management indicated that the 2Q setup included approximately</w:t>
      </w:r>
      <w:r>
        <w:t xml:space="preserve"> </w:t>
      </w:r>
      <w:r>
        <w:rPr>
          <w:b/>
          <w:bCs/>
        </w:rPr>
        <w:t xml:space="preserve">$0.26/lb of global integrated-margin improvement**, with the April polyethylene pricing action included in its outlook but the May increase *not* included—creating the potential for upside if realization held. Management also discussed P&amp;SP EBITDA of roughly **$</w:t>
      </w:r>
      <w:r>
        <w:rPr>
          <w:b/>
          <w:bCs/>
        </w:rPr>
        <w:t xml:space="preserve">1.75B</w:t>
      </w:r>
      <w:r>
        <w:t xml:space="preserve"> </w:t>
      </w:r>
      <w:r>
        <w:t xml:space="preserve">for 2Q, making that segment the central earnings variable.</w:t>
      </w:r>
    </w:p>
    <w:p>
      <w:r>
        <w:pict>
          <v:rect style="width:0;height:1.5pt" o:hralign="center" o:hrstd="t" o:hr="t"/>
        </w:pict>
      </w:r>
    </w:p>
    <w:bookmarkEnd w:id="11"/>
    <w:bookmarkStart w:id="12" w:name="key-investment-debates-into-the-report"/>
    <w:p>
      <w:pPr>
        <w:pStyle w:val="Heading2"/>
      </w:pPr>
      <w:r>
        <w:t xml:space="preserve">Key investment debates into the report</w:t>
      </w:r>
    </w:p>
    <w:bookmarkEnd w:id="12"/>
    <w:bookmarkStart w:id="15" w:name="X6baf15a4037f940d19adfe820ebab3b7a6d120d"/>
    <w:p>
      <w:pPr>
        <w:pStyle w:val="Heading2"/>
      </w:pPr>
      <w:r>
        <w:t xml:space="preserve">1. Is the pricing and margin recovery real—and durable?</w:t>
      </w:r>
    </w:p>
    <w:p>
      <w:pPr>
        <w:pStyle w:val="FirstParagraph"/>
      </w:pPr>
      <w:r>
        <w:t xml:space="preserve">This is the dominant question. Dow entered 2026 with depressed petrochemical pricing, particularly in polyethylene, and 1Q reflected that weakness: companywide local price was down 7% year over year, P&amp;SP price was down 9%, and operating EBITDA was only $873M.</w:t>
      </w:r>
    </w:p>
    <w:p>
      <w:pPr>
        <w:pStyle w:val="BodyText"/>
      </w:pPr>
      <w:r>
        <w:t xml:space="preserve">The Middle East conflict subsequently disrupted chemical feedstocks, logistics, and product availability, particularly for Asia and Europe. Dow believes its North American ethane-based footprint, Americas production scale, European feedstock flexibility, and new Freeport polyethylene capacity allow it to capture disproportionate benefits from tighter supply and higher global pricing.</w:t>
      </w:r>
    </w:p>
    <w:bookmarkStart w:id="13" w:name="what-to-watch"/>
    <w:p>
      <w:pPr>
        <w:pStyle w:val="Heading3"/>
      </w:pPr>
      <w:r>
        <w:t xml:space="preserve">What to watch</w:t>
      </w:r>
    </w:p>
    <w:p>
      <w:pPr>
        <w:pStyle w:val="Compact"/>
        <w:numPr>
          <w:ilvl w:val="0"/>
          <w:numId w:val="1002"/>
        </w:numPr>
      </w:pPr>
      <w:r>
        <w:t xml:space="preserve">Actual</w:t>
      </w:r>
      <w:r>
        <w:t xml:space="preserve"> </w:t>
      </w:r>
      <w:r>
        <w:rPr>
          <w:b/>
          <w:bCs/>
        </w:rPr>
        <w:t xml:space="preserve">P&amp;SP EBITDA</w:t>
      </w:r>
      <w:r>
        <w:t xml:space="preserve"> </w:t>
      </w:r>
      <w:r>
        <w:t xml:space="preserve">versus the implied ~$1.75B target;</w:t>
      </w:r>
    </w:p>
    <w:p>
      <w:pPr>
        <w:pStyle w:val="Compact"/>
        <w:numPr>
          <w:ilvl w:val="0"/>
          <w:numId w:val="1002"/>
        </w:numPr>
      </w:pPr>
      <w:r>
        <w:t xml:space="preserve">Polyethylene price realization versus announced increases;</w:t>
      </w:r>
    </w:p>
    <w:p>
      <w:pPr>
        <w:pStyle w:val="Compact"/>
        <w:numPr>
          <w:ilvl w:val="0"/>
          <w:numId w:val="1002"/>
        </w:numPr>
      </w:pPr>
      <w:r>
        <w:t xml:space="preserve">Evidence of customer resistance, demand destruction, or export-market weakness;</w:t>
      </w:r>
    </w:p>
    <w:p>
      <w:pPr>
        <w:pStyle w:val="Compact"/>
        <w:numPr>
          <w:ilvl w:val="0"/>
          <w:numId w:val="1002"/>
        </w:numPr>
      </w:pPr>
      <w:r>
        <w:t xml:space="preserve">Commentary on whether May pricing was realized and whether further increases are sticking;</w:t>
      </w:r>
    </w:p>
    <w:p>
      <w:pPr>
        <w:pStyle w:val="Compact"/>
        <w:numPr>
          <w:ilvl w:val="0"/>
          <w:numId w:val="1002"/>
        </w:numPr>
      </w:pPr>
      <w:r>
        <w:t xml:space="preserve">Dow’s outlook for the duration of supply tightness and its assumptions on supply-chain normalization.</w:t>
      </w:r>
    </w:p>
    <w:bookmarkEnd w:id="13"/>
    <w:bookmarkStart w:id="14" w:name="why-it-matters"/>
    <w:p>
      <w:pPr>
        <w:pStyle w:val="Heading3"/>
      </w:pPr>
      <w:r>
        <w:t xml:space="preserve">Why it matters</w:t>
      </w:r>
    </w:p>
    <w:p>
      <w:pPr>
        <w:pStyle w:val="FirstParagraph"/>
      </w:pPr>
      <w:r>
        <w:t xml:space="preserve">A strong 2Q could validate Dow’s position as a major beneficiary of the supply shock. But a quick normalization in Middle East logistics or a reversal in oil/naphtha-driven pricing would challenge the durability of elevated margins—especially in a market that appears unwilling to capitalize a short-lived windfall.</w:t>
      </w:r>
    </w:p>
    <w:p>
      <w:r>
        <w:pict>
          <v:rect style="width:0;height:1.5pt" o:hralign="center" o:hrstd="t" o:hr="t"/>
        </w:pict>
      </w:r>
    </w:p>
    <w:bookmarkEnd w:id="14"/>
    <w:bookmarkEnd w:id="15"/>
    <w:bookmarkStart w:id="17" w:name="Xe679cede21c7bbb9b808894607bb1b7b10e36d2"/>
    <w:p>
      <w:pPr>
        <w:pStyle w:val="Heading2"/>
      </w:pPr>
      <w:r>
        <w:t xml:space="preserve">2. Can cost actions create a better through-cycle earnings base?</w:t>
      </w:r>
    </w:p>
    <w:p>
      <w:pPr>
        <w:pStyle w:val="FirstParagraph"/>
      </w:pPr>
      <w:r>
        <w:t xml:space="preserve">Dow’s operational recovery is not solely macro-driven. The company has layered several self-help programs on top of the cycle:</w:t>
      </w:r>
    </w:p>
    <w:p>
      <w:pPr>
        <w:pStyle w:val="Compact"/>
        <w:numPr>
          <w:ilvl w:val="0"/>
          <w:numId w:val="1003"/>
        </w:numPr>
      </w:pPr>
      <w:r>
        <w:t xml:space="preserve">Remaining benefits from the earlier</w:t>
      </w:r>
      <w:r>
        <w:t xml:space="preserve"> </w:t>
      </w:r>
      <w:r>
        <w:rPr>
          <w:b/>
          <w:bCs/>
        </w:rPr>
        <w:t xml:space="preserve">$1B cost-reduction program</w:t>
      </w:r>
      <w:r>
        <w:t xml:space="preserve">;</w:t>
      </w:r>
    </w:p>
    <w:p>
      <w:pPr>
        <w:pStyle w:val="Compact"/>
        <w:numPr>
          <w:ilvl w:val="0"/>
          <w:numId w:val="1003"/>
        </w:numPr>
      </w:pPr>
      <w:r>
        <w:rPr>
          <w:b/>
          <w:bCs/>
        </w:rPr>
        <w:t xml:space="preserve">Transform to Outperform</w:t>
      </w:r>
      <w:r>
        <w:t xml:space="preserve">, targeting at least</w:t>
      </w:r>
      <w:r>
        <w:t xml:space="preserve"> </w:t>
      </w:r>
      <w:r>
        <w:rPr>
          <w:b/>
          <w:bCs/>
        </w:rPr>
        <w:t xml:space="preserve">$2B of near-term EBITDA improvement</w:t>
      </w:r>
      <w:r>
        <w:t xml:space="preserve">, with about two-thirds expected from productivity and one-third from growth;</w:t>
      </w:r>
    </w:p>
    <w:p>
      <w:pPr>
        <w:pStyle w:val="Compact"/>
        <w:numPr>
          <w:ilvl w:val="0"/>
          <w:numId w:val="1003"/>
        </w:numPr>
      </w:pPr>
      <w:r>
        <w:t xml:space="preserve">2026 self-help benefits of approximately</w:t>
      </w:r>
      <w:r>
        <w:t xml:space="preserve"> </w:t>
      </w:r>
      <w:r>
        <w:rPr>
          <w:b/>
          <w:bCs/>
        </w:rPr>
        <w:t xml:space="preserve">$1.1B</w:t>
      </w:r>
      <w:r>
        <w:t xml:space="preserve">, comprising $600M from the prior program and $500M from growth/productivity initiatives;</w:t>
      </w:r>
    </w:p>
    <w:p>
      <w:pPr>
        <w:pStyle w:val="Compact"/>
        <w:numPr>
          <w:ilvl w:val="0"/>
          <w:numId w:val="1003"/>
        </w:numPr>
      </w:pPr>
      <w:r>
        <w:t xml:space="preserve">European asset closures and higher-cost upstream rationalization;</w:t>
      </w:r>
    </w:p>
    <w:p>
      <w:pPr>
        <w:pStyle w:val="Compact"/>
        <w:numPr>
          <w:ilvl w:val="0"/>
          <w:numId w:val="1003"/>
        </w:numPr>
      </w:pPr>
      <w:r>
        <w:t xml:space="preserve">Contribution from new, more advantaged polyethylene capacity at Freeport.</w:t>
      </w:r>
    </w:p>
    <w:p>
      <w:pPr>
        <w:pStyle w:val="FirstParagraph"/>
      </w:pPr>
      <w:r>
        <w:t xml:space="preserve">In 1Q, Dow reported approximately</w:t>
      </w:r>
      <w:r>
        <w:t xml:space="preserve"> </w:t>
      </w:r>
      <w:r>
        <w:rPr>
          <w:b/>
          <w:bCs/>
        </w:rPr>
        <w:t xml:space="preserve">$193M of period cost savings</w:t>
      </w:r>
      <w:r>
        <w:t xml:space="preserve">. It expects transformation benefits to ramp materially in the second half, including roughly $400M of incremental value in 2H26.</w:t>
      </w:r>
    </w:p>
    <w:bookmarkStart w:id="16" w:name="what-to-watch-1"/>
    <w:p>
      <w:pPr>
        <w:pStyle w:val="Heading3"/>
      </w:pPr>
      <w:r>
        <w:t xml:space="preserve">What to watch</w:t>
      </w:r>
    </w:p>
    <w:p>
      <w:pPr>
        <w:pStyle w:val="Compact"/>
        <w:numPr>
          <w:ilvl w:val="0"/>
          <w:numId w:val="1004"/>
        </w:numPr>
      </w:pPr>
      <w:r>
        <w:t xml:space="preserve">Quantification of realized 2Q savings;</w:t>
      </w:r>
    </w:p>
    <w:p>
      <w:pPr>
        <w:pStyle w:val="Compact"/>
        <w:numPr>
          <w:ilvl w:val="0"/>
          <w:numId w:val="1004"/>
        </w:numPr>
      </w:pPr>
      <w:r>
        <w:t xml:space="preserve">Whether management increases, reiterates, or qualifies the $1.1B 2026 self-help target;</w:t>
      </w:r>
    </w:p>
    <w:p>
      <w:pPr>
        <w:pStyle w:val="Compact"/>
        <w:numPr>
          <w:ilvl w:val="0"/>
          <w:numId w:val="1004"/>
        </w:numPr>
      </w:pPr>
      <w:r>
        <w:t xml:space="preserve">Any update on the timing, cash costs, or operational disruption associated with Transform to Outperform;</w:t>
      </w:r>
    </w:p>
    <w:p>
      <w:pPr>
        <w:pStyle w:val="Compact"/>
        <w:numPr>
          <w:ilvl w:val="0"/>
          <w:numId w:val="1004"/>
        </w:numPr>
      </w:pPr>
      <w:r>
        <w:t xml:space="preserve">Evidence that higher margins are being supplemented by structural productivity rather than merely by external pricing.</w:t>
      </w:r>
    </w:p>
    <w:p>
      <w:pPr>
        <w:pStyle w:val="FirstParagraph"/>
      </w:pPr>
      <w:r>
        <w:rPr>
          <w:b/>
          <w:bCs/>
        </w:rPr>
        <w:t xml:space="preserve">Investor takeaway:</w:t>
      </w:r>
      <w:r>
        <w:t xml:space="preserve"> </w:t>
      </w:r>
      <w:r>
        <w:t xml:space="preserve">A durable rerating requires Dow to demonstrate that a meaningful share of earnings improvement can survive a normalization in spreads.</w:t>
      </w:r>
    </w:p>
    <w:p>
      <w:r>
        <w:pict>
          <v:rect style="width:0;height:1.5pt" o:hralign="center" o:hrstd="t" o:hr="t"/>
        </w:pict>
      </w:r>
    </w:p>
    <w:bookmarkEnd w:id="16"/>
    <w:bookmarkEnd w:id="17"/>
    <w:bookmarkStart w:id="22" w:name="X9d1ee4e8b1ab32a2001d04fedfcea664fe54f67"/>
    <w:p>
      <w:pPr>
        <w:pStyle w:val="Heading2"/>
      </w:pPr>
      <w:r>
        <w:t xml:space="preserve">3. Does improvement extend beyond polyethylene?</w:t>
      </w:r>
    </w:p>
    <w:p>
      <w:pPr>
        <w:pStyle w:val="FirstParagraph"/>
      </w:pPr>
      <w:r>
        <w:t xml:space="preserve">P&amp;SP should carry the quarter, but investors should assess whether Dow’s recovery is broad-based.</w:t>
      </w:r>
    </w:p>
    <w:bookmarkStart w:id="18" w:name="packaging--specialty-plastics"/>
    <w:p>
      <w:pPr>
        <w:pStyle w:val="Heading3"/>
      </w:pPr>
      <w:r>
        <w:t xml:space="preserve">Packaging &amp; Specialty Plastics</w:t>
      </w:r>
    </w:p>
    <w:p>
      <w:pPr>
        <w:pStyle w:val="FirstParagraph"/>
      </w:pPr>
      <w:r>
        <w:t xml:space="preserve">The likely earnings engine. Higher polyethylene volumes, the Freeport Poly-7 unit, strong Americas utilization, and price realization should produce the largest sequential step-up.</w:t>
      </w:r>
    </w:p>
    <w:bookmarkEnd w:id="18"/>
    <w:bookmarkStart w:id="19" w:name="industrial-intermediates--infrastructure"/>
    <w:p>
      <w:pPr>
        <w:pStyle w:val="Heading3"/>
      </w:pPr>
      <w:r>
        <w:t xml:space="preserve">Industrial Intermediates &amp; Infrastructure</w:t>
      </w:r>
    </w:p>
    <w:p>
      <w:pPr>
        <w:pStyle w:val="FirstParagraph"/>
      </w:pPr>
      <w:r>
        <w:t xml:space="preserve">This business remains less clean. In 1Q, the segment posted an operating EBIT loss of</w:t>
      </w:r>
      <w:r>
        <w:t xml:space="preserve"> </w:t>
      </w:r>
      <w:r>
        <w:rPr>
          <w:b/>
          <w:bCs/>
        </w:rPr>
        <w:t xml:space="preserve">$118M</w:t>
      </w:r>
      <w:r>
        <w:t xml:space="preserve">, despite lower maintenance costs, cost savings, and suspended Sadara loss recognition. Construction-related demand remained weak, while planned maintenance and lower licensing revenue were expected to mute 2Q improvement.</w:t>
      </w:r>
    </w:p>
    <w:bookmarkEnd w:id="19"/>
    <w:bookmarkStart w:id="20" w:name="performance-materials--coatings"/>
    <w:p>
      <w:pPr>
        <w:pStyle w:val="Heading3"/>
      </w:pPr>
      <w:r>
        <w:t xml:space="preserve">Performance Materials &amp; Coatings</w:t>
      </w:r>
    </w:p>
    <w:p>
      <w:pPr>
        <w:pStyle w:val="FirstParagraph"/>
      </w:pPr>
      <w:r>
        <w:t xml:space="preserve">This was Dow’s relative bright spot in 1Q: EBIT rose to</w:t>
      </w:r>
      <w:r>
        <w:t xml:space="preserve"> </w:t>
      </w:r>
      <w:r>
        <w:rPr>
          <w:b/>
          <w:bCs/>
        </w:rPr>
        <w:t xml:space="preserve">$117M</w:t>
      </w:r>
      <w:r>
        <w:t xml:space="preserve"> </w:t>
      </w:r>
      <w:r>
        <w:t xml:space="preserve">from $49M a year earlier, supported by downstream silicones, electronics, acrylic-monomer volume, and lower fixed costs. The issue for 2Q is whether propylene/feedstock inflation and softer building-and-construction demand limit seasonal upside.</w:t>
      </w:r>
    </w:p>
    <w:bookmarkEnd w:id="20"/>
    <w:bookmarkStart w:id="21" w:name="what-to-watch-2"/>
    <w:p>
      <w:pPr>
        <w:pStyle w:val="Heading3"/>
      </w:pPr>
      <w:r>
        <w:t xml:space="preserve">What to watch</w:t>
      </w:r>
    </w:p>
    <w:p>
      <w:pPr>
        <w:pStyle w:val="FirstParagraph"/>
      </w:pPr>
      <w:r>
        <w:t xml:space="preserve">A strong report should show more than a P&amp;SP rebound. Investors will look for:</w:t>
      </w:r>
    </w:p>
    <w:p>
      <w:pPr>
        <w:pStyle w:val="Compact"/>
        <w:numPr>
          <w:ilvl w:val="0"/>
          <w:numId w:val="1005"/>
        </w:numPr>
      </w:pPr>
      <w:r>
        <w:t xml:space="preserve">Positive operating leverage in Industrial Intermediates;</w:t>
      </w:r>
    </w:p>
    <w:p>
      <w:pPr>
        <w:pStyle w:val="Compact"/>
        <w:numPr>
          <w:ilvl w:val="0"/>
          <w:numId w:val="1005"/>
        </w:numPr>
      </w:pPr>
      <w:r>
        <w:t xml:space="preserve">Continued growth in downstream silicones/electronics;</w:t>
      </w:r>
    </w:p>
    <w:p>
      <w:pPr>
        <w:pStyle w:val="Compact"/>
        <w:numPr>
          <w:ilvl w:val="0"/>
          <w:numId w:val="1005"/>
        </w:numPr>
      </w:pPr>
      <w:r>
        <w:t xml:space="preserve">Stable or improving Europe profitability;</w:t>
      </w:r>
    </w:p>
    <w:p>
      <w:pPr>
        <w:pStyle w:val="Compact"/>
        <w:numPr>
          <w:ilvl w:val="0"/>
          <w:numId w:val="1005"/>
        </w:numPr>
      </w:pPr>
      <w:r>
        <w:t xml:space="preserve">Limited demand destruction in construction, mobility, and consumer-linked end markets.</w:t>
      </w:r>
    </w:p>
    <w:p>
      <w:r>
        <w:pict>
          <v:rect style="width:0;height:1.5pt" o:hralign="center" o:hrstd="t" o:hr="t"/>
        </w:pict>
      </w:r>
    </w:p>
    <w:bookmarkEnd w:id="21"/>
    <w:bookmarkEnd w:id="22"/>
    <w:bookmarkStart w:id="24" w:name="X5ea4a4c1201d783b1ec3ae68fce9bed8a40a2de"/>
    <w:p>
      <w:pPr>
        <w:pStyle w:val="Heading2"/>
      </w:pPr>
      <w:r>
        <w:t xml:space="preserve">4. Cash flow, leverage, ratings, and Sadara remain important constraints</w:t>
      </w:r>
    </w:p>
    <w:p>
      <w:pPr>
        <w:pStyle w:val="FirstParagraph"/>
      </w:pPr>
      <w:r>
        <w:t xml:space="preserve">Dow’s 1Q free cash flow was</w:t>
      </w:r>
      <w:r>
        <w:t xml:space="preserve"> </w:t>
      </w:r>
      <m:oMath>
        <m:r>
          <m:t>621</m:t>
        </m:r>
        <m:r>
          <m:t>M</m:t>
        </m:r>
        <m:r>
          <m:rPr>
            <m:sty m:val="p"/>
          </m:rPr>
          <m:t>*</m:t>
        </m:r>
        <m:r>
          <m:rPr>
            <m:sty m:val="p"/>
          </m:rPr>
          <m:t>*</m:t>
        </m:r>
        <m:r>
          <m:rPr>
            <m:sty m:val="p"/>
          </m:rPr>
          <m:t>,</m:t>
        </m:r>
        <m:r>
          <m:t>b</m:t>
        </m:r>
        <m:r>
          <m:t>u</m:t>
        </m:r>
        <m:r>
          <m:t>t</m:t>
        </m:r>
        <m:r>
          <m:t>i</m:t>
        </m:r>
        <m:r>
          <m:t>t</m:t>
        </m:r>
        <m:r>
          <m:t>w</m:t>
        </m:r>
        <m:r>
          <m:t>a</m:t>
        </m:r>
        <m:r>
          <m:t>s</m:t>
        </m:r>
        <m:r>
          <m:t>f</m:t>
        </m:r>
        <m:r>
          <m:t>l</m:t>
        </m:r>
        <m:r>
          <m:t>a</m:t>
        </m:r>
        <m:r>
          <m:t>t</m:t>
        </m:r>
        <m:r>
          <m:t>t</m:t>
        </m:r>
        <m:r>
          <m:t>e</m:t>
        </m:r>
        <m:r>
          <m:t>r</m:t>
        </m:r>
        <m:r>
          <m:t>e</m:t>
        </m:r>
        <m:r>
          <m:t>d</m:t>
        </m:r>
        <m:r>
          <m:t>b</m:t>
        </m:r>
        <m:r>
          <m:t>y</m:t>
        </m:r>
        <m:r>
          <m:t>a</m:t>
        </m:r>
        <m:r>
          <m:t>p</m:t>
        </m:r>
        <m:r>
          <m:t>p</m:t>
        </m:r>
        <m:r>
          <m:t>r</m:t>
        </m:r>
        <m:r>
          <m:t>o</m:t>
        </m:r>
        <m:r>
          <m:t>x</m:t>
        </m:r>
        <m:r>
          <m:t>i</m:t>
        </m:r>
        <m:r>
          <m:t>m</m:t>
        </m:r>
        <m:r>
          <m:t>a</m:t>
        </m:r>
        <m:r>
          <m:t>t</m:t>
        </m:r>
        <m:r>
          <m:t>e</m:t>
        </m:r>
        <m:r>
          <m:t>l</m:t>
        </m:r>
        <m:r>
          <m:t>y</m:t>
        </m:r>
        <m:r>
          <m:rPr>
            <m:sty m:val="p"/>
          </m:rPr>
          <m:t>*</m:t>
        </m:r>
        <m:r>
          <m:rPr>
            <m:sty m:val="p"/>
          </m:rPr>
          <m:t>*</m:t>
        </m:r>
      </m:oMath>
      <w:r>
        <w:rPr>
          <w:b/>
          <w:bCs/>
        </w:rPr>
        <w:t xml:space="preserve">1B of net cash proceeds</w:t>
      </w:r>
      <w:r>
        <w:t xml:space="preserve"> </w:t>
      </w:r>
      <w:r>
        <w:t xml:space="preserve">related to the Nova Chemicals litigation. That cash receipt should not be annualized as operating performance.</w:t>
      </w:r>
    </w:p>
    <w:p>
      <w:pPr>
        <w:pStyle w:val="BodyText"/>
      </w:pPr>
      <w:r>
        <w:t xml:space="preserve">At March 31, Dow reported:</w:t>
      </w:r>
    </w:p>
    <w:p>
      <w:pPr>
        <w:pStyle w:val="Compact"/>
        <w:numPr>
          <w:ilvl w:val="0"/>
          <w:numId w:val="1006"/>
        </w:numPr>
      </w:pPr>
      <w:r>
        <w:rPr>
          <w:b/>
          <w:bCs/>
        </w:rPr>
        <w:t xml:space="preserve">$4.1B</w:t>
      </w:r>
      <w:r>
        <w:t xml:space="preserve"> </w:t>
      </w:r>
      <w:r>
        <w:t xml:space="preserve">of cash;</w:t>
      </w:r>
    </w:p>
    <w:p>
      <w:pPr>
        <w:pStyle w:val="Compact"/>
        <w:numPr>
          <w:ilvl w:val="0"/>
          <w:numId w:val="1006"/>
        </w:numPr>
      </w:pPr>
      <w:r>
        <w:rPr>
          <w:b/>
          <w:bCs/>
        </w:rPr>
        <w:t xml:space="preserve">$13.7B</w:t>
      </w:r>
      <w:r>
        <w:t xml:space="preserve"> </w:t>
      </w:r>
      <w:r>
        <w:t xml:space="preserve">of available liquidity;</w:t>
      </w:r>
    </w:p>
    <w:p>
      <w:pPr>
        <w:pStyle w:val="Compact"/>
        <w:numPr>
          <w:ilvl w:val="0"/>
          <w:numId w:val="1006"/>
        </w:numPr>
      </w:pPr>
      <m:oMath>
        <m:r>
          <m:t>18.1</m:t>
        </m:r>
        <m:r>
          <m:t>B</m:t>
        </m:r>
        <m:r>
          <m:rPr>
            <m:sty m:val="p"/>
          </m:rPr>
          <m:t>*</m:t>
        </m:r>
        <m:r>
          <m:rPr>
            <m:sty m:val="p"/>
          </m:rPr>
          <m:t>*</m:t>
        </m:r>
        <m:r>
          <m:t>o</m:t>
        </m:r>
        <m:r>
          <m:t>f</m:t>
        </m:r>
        <m:r>
          <m:t>g</m:t>
        </m:r>
        <m:r>
          <m:t>r</m:t>
        </m:r>
        <m:r>
          <m:t>o</m:t>
        </m:r>
        <m:r>
          <m:t>s</m:t>
        </m:r>
        <m:r>
          <m:t>s</m:t>
        </m:r>
        <m:r>
          <m:t>d</m:t>
        </m:r>
        <m:r>
          <m:t>e</m:t>
        </m:r>
        <m:r>
          <m:t>b</m:t>
        </m:r>
        <m:r>
          <m:t>t</m:t>
        </m:r>
        <m:r>
          <m:t>a</m:t>
        </m:r>
        <m:r>
          <m:t>n</m:t>
        </m:r>
        <m:r>
          <m:t>d</m:t>
        </m:r>
        <m:r>
          <m:rPr>
            <m:sty m:val="p"/>
          </m:rPr>
          <m:t>*</m:t>
        </m:r>
        <m:r>
          <m:rPr>
            <m:sty m:val="p"/>
          </m:rPr>
          <m:t>*</m:t>
        </m:r>
      </m:oMath>
      <w:r>
        <w:rPr>
          <w:b/>
          <w:bCs/>
        </w:rPr>
        <w:t xml:space="preserve">13.6B</w:t>
      </w:r>
      <w:r>
        <w:t xml:space="preserve"> </w:t>
      </w:r>
      <w:r>
        <w:t xml:space="preserve">of net debt;</w:t>
      </w:r>
    </w:p>
    <w:p>
      <w:pPr>
        <w:pStyle w:val="Compact"/>
        <w:numPr>
          <w:ilvl w:val="0"/>
          <w:numId w:val="1006"/>
        </w:numPr>
      </w:pPr>
      <w:r>
        <w:t xml:space="preserve">No substantive long-term debt maturities until 2029.</w:t>
      </w:r>
    </w:p>
    <w:p>
      <w:pPr>
        <w:pStyle w:val="FirstParagraph"/>
      </w:pPr>
      <w:r>
        <w:t xml:space="preserve">The balance sheet is liquid, but leverage remains material. Standard &amp; Poor’s downgraded TDCC to</w:t>
      </w:r>
      <w:r>
        <w:t xml:space="preserve"> </w:t>
      </w:r>
      <w:r>
        <w:rPr>
          <w:b/>
          <w:bCs/>
        </w:rPr>
        <w:t xml:space="preserve">BBB-</w:t>
      </w:r>
      <w:r>
        <w:t xml:space="preserve"> </w:t>
      </w:r>
      <w:r>
        <w:t xml:space="preserve">in February 2026 with a negative outlook, while Moody’s downgraded it to</w:t>
      </w:r>
      <w:r>
        <w:t xml:space="preserve"> </w:t>
      </w:r>
      <w:r>
        <w:rPr>
          <w:b/>
          <w:bCs/>
        </w:rPr>
        <w:t xml:space="preserve">Baa3</w:t>
      </w:r>
      <w:r>
        <w:t xml:space="preserve"> </w:t>
      </w:r>
      <w:r>
        <w:t xml:space="preserve">with a negative outlook. Fitch maintained a BBB rating with a stable outlook.</w:t>
      </w:r>
    </w:p>
    <w:p>
      <w:pPr>
        <w:pStyle w:val="BodyText"/>
      </w:pPr>
      <w:r>
        <w:t xml:space="preserve">Sadara is another overhang. Dow suspended recognition of further equity losses under GAAP after cumulative losses reached its relevant obligations and commitments. Management previously characterized the ongoing cash commitment as roughly</w:t>
      </w:r>
      <w:r>
        <w:t xml:space="preserve"> </w:t>
      </w:r>
      <w:r>
        <w:rPr>
          <w:b/>
          <w:bCs/>
        </w:rPr>
        <w:t xml:space="preserve">$100M annually through 2038</w:t>
      </w:r>
      <w:r>
        <w:t xml:space="preserve">, but investors will seek a clearer update on restructuring discussions with Saudi Aramco, operational recovery, and ultimate liability.</w:t>
      </w:r>
    </w:p>
    <w:bookmarkStart w:id="23" w:name="what-to-watch-3"/>
    <w:p>
      <w:pPr>
        <w:pStyle w:val="Heading3"/>
      </w:pPr>
      <w:r>
        <w:t xml:space="preserve">What to watch</w:t>
      </w:r>
    </w:p>
    <w:p>
      <w:pPr>
        <w:pStyle w:val="Compact"/>
        <w:numPr>
          <w:ilvl w:val="0"/>
          <w:numId w:val="1007"/>
        </w:numPr>
      </w:pPr>
      <w:r>
        <w:t xml:space="preserve">Operating cash flow excluding the Nova benefit;</w:t>
      </w:r>
    </w:p>
    <w:p>
      <w:pPr>
        <w:pStyle w:val="Compact"/>
        <w:numPr>
          <w:ilvl w:val="0"/>
          <w:numId w:val="1007"/>
        </w:numPr>
      </w:pPr>
      <w:r>
        <w:t xml:space="preserve">Working-capital usage as sales accelerate;</w:t>
      </w:r>
    </w:p>
    <w:p>
      <w:pPr>
        <w:pStyle w:val="Compact"/>
        <w:numPr>
          <w:ilvl w:val="0"/>
          <w:numId w:val="1007"/>
        </w:numPr>
      </w:pPr>
      <w:r>
        <w:t xml:space="preserve">Capital-expenditure discipline, particularly around the Path2Zero project;</w:t>
      </w:r>
    </w:p>
    <w:p>
      <w:pPr>
        <w:pStyle w:val="Compact"/>
        <w:numPr>
          <w:ilvl w:val="0"/>
          <w:numId w:val="1007"/>
        </w:numPr>
      </w:pPr>
      <w:r>
        <w:t xml:space="preserve">Dividend coverage and any change in the $0.35 quarterly dividend posture;</w:t>
      </w:r>
    </w:p>
    <w:p>
      <w:pPr>
        <w:pStyle w:val="Compact"/>
        <w:numPr>
          <w:ilvl w:val="0"/>
          <w:numId w:val="1007"/>
        </w:numPr>
      </w:pPr>
      <w:r>
        <w:t xml:space="preserve">Further details on Sadara’s balance-sheet restructuring and cash exposure.</w:t>
      </w:r>
    </w:p>
    <w:p>
      <w:r>
        <w:pict>
          <v:rect style="width:0;height:1.5pt" o:hralign="center" o:hrstd="t" o:hr="t"/>
        </w:pict>
      </w:r>
    </w:p>
    <w:bookmarkEnd w:id="23"/>
    <w:bookmarkEnd w:id="24"/>
    <w:bookmarkStart w:id="25" w:name="X38793f1d427da030d2bf618f5095b49d65a664d"/>
    <w:p>
      <w:pPr>
        <w:pStyle w:val="Heading2"/>
      </w:pPr>
      <w:r>
        <w:t xml:space="preserve">New CEO, same strategy—but a meaningful communication test</w:t>
      </w:r>
    </w:p>
    <w:p>
      <w:pPr>
        <w:pStyle w:val="FirstParagraph"/>
      </w:pPr>
      <w:r>
        <w:t xml:space="preserve">Karen S. Carter became CEO effective</w:t>
      </w:r>
      <w:r>
        <w:t xml:space="preserve"> </w:t>
      </w:r>
      <w:r>
        <w:rPr>
          <w:b/>
          <w:bCs/>
        </w:rPr>
        <w:t xml:space="preserve">July 1, 2026</w:t>
      </w:r>
      <w:r>
        <w:t xml:space="preserve">, with Jim Fitterling moving to Executive Chair. This will be the first quarterly report presented under Carter’s leadership.</w:t>
      </w:r>
    </w:p>
    <w:p>
      <w:pPr>
        <w:pStyle w:val="BodyText"/>
      </w:pPr>
      <w:r>
        <w:t xml:space="preserve">The transition appears designed for continuity rather than a strategic reset. Still, the call matters because investors will want to hear Carter’s priorities in three areas:</w:t>
      </w:r>
    </w:p>
    <w:p>
      <w:pPr>
        <w:pStyle w:val="Compact"/>
        <w:numPr>
          <w:ilvl w:val="0"/>
          <w:numId w:val="1008"/>
        </w:numPr>
      </w:pPr>
      <w:r>
        <w:rPr>
          <w:b/>
          <w:bCs/>
        </w:rPr>
        <w:t xml:space="preserve">How aggressively Dow will defend higher pricing and margins;</w:t>
      </w:r>
    </w:p>
    <w:p>
      <w:pPr>
        <w:pStyle w:val="Compact"/>
        <w:numPr>
          <w:ilvl w:val="0"/>
          <w:numId w:val="1008"/>
        </w:numPr>
      </w:pPr>
      <w:r>
        <w:rPr>
          <w:b/>
          <w:bCs/>
        </w:rPr>
        <w:t xml:space="preserve">Whether self-help can offset the next cyclical downturn;</w:t>
      </w:r>
    </w:p>
    <w:p>
      <w:pPr>
        <w:pStyle w:val="Compact"/>
        <w:numPr>
          <w:ilvl w:val="0"/>
          <w:numId w:val="1008"/>
        </w:numPr>
      </w:pPr>
      <w:r>
        <w:rPr>
          <w:b/>
          <w:bCs/>
        </w:rPr>
        <w:t xml:space="preserve">How she balances capex, debt reduction, dividends, and Path2Zero amid a weakened credit profile.</w:t>
      </w:r>
    </w:p>
    <w:p>
      <w:pPr>
        <w:pStyle w:val="FirstParagraph"/>
      </w:pPr>
      <w:r>
        <w:t xml:space="preserve">A clear, specific operating framework could help reduce uncertainty around Dow’s post-Fitterling execution story.</w:t>
      </w:r>
    </w:p>
    <w:p>
      <w:r>
        <w:pict>
          <v:rect style="width:0;height:1.5pt" o:hralign="center" o:hrstd="t" o:hr="t"/>
        </w:pict>
      </w:r>
    </w:p>
    <w:bookmarkEnd w:id="25"/>
    <w:bookmarkStart w:id="29" w:name="earnings-scenarios"/>
    <w:p>
      <w:pPr>
        <w:pStyle w:val="Heading2"/>
      </w:pPr>
      <w:r>
        <w:t xml:space="preserve">Earnings scenarios</w:t>
      </w:r>
    </w:p>
    <w:bookmarkStart w:id="26" w:name="bull-case"/>
    <w:p>
      <w:pPr>
        <w:pStyle w:val="Heading3"/>
      </w:pPr>
      <w:r>
        <w:t xml:space="preserve">Bull case</w:t>
      </w:r>
    </w:p>
    <w:p>
      <w:pPr>
        <w:pStyle w:val="Compact"/>
        <w:numPr>
          <w:ilvl w:val="0"/>
          <w:numId w:val="1009"/>
        </w:numPr>
      </w:pPr>
      <w:r>
        <w:t xml:space="preserve">EBITDA reaches or exceeds the</w:t>
      </w:r>
      <w:r>
        <w:t xml:space="preserve"> </w:t>
      </w:r>
      <w:r>
        <w:rPr>
          <w:b/>
          <w:bCs/>
        </w:rPr>
        <w:t xml:space="preserve">$2.2B</w:t>
      </w:r>
      <w:r>
        <w:t xml:space="preserve"> </w:t>
      </w:r>
      <w:r>
        <w:t xml:space="preserve">consensus level;</w:t>
      </w:r>
    </w:p>
    <w:p>
      <w:pPr>
        <w:pStyle w:val="Compact"/>
        <w:numPr>
          <w:ilvl w:val="0"/>
          <w:numId w:val="1009"/>
        </w:numPr>
      </w:pPr>
      <w:r>
        <w:t xml:space="preserve">P&amp;SP approaches or surpasses the ~$1.75B implied EBITDA target;</w:t>
      </w:r>
    </w:p>
    <w:p>
      <w:pPr>
        <w:pStyle w:val="Compact"/>
        <w:numPr>
          <w:ilvl w:val="0"/>
          <w:numId w:val="1009"/>
        </w:numPr>
      </w:pPr>
      <w:r>
        <w:t xml:space="preserve">May pricing is realized, supporting upside to prior guidance;</w:t>
      </w:r>
    </w:p>
    <w:p>
      <w:pPr>
        <w:pStyle w:val="Compact"/>
        <w:numPr>
          <w:ilvl w:val="0"/>
          <w:numId w:val="1009"/>
        </w:numPr>
      </w:pPr>
      <w:r>
        <w:t xml:space="preserve">Management indicates 3Q margins remain firm despite evolving geopolitical conditions;</w:t>
      </w:r>
    </w:p>
    <w:p>
      <w:pPr>
        <w:pStyle w:val="Compact"/>
        <w:numPr>
          <w:ilvl w:val="0"/>
          <w:numId w:val="1009"/>
        </w:numPr>
      </w:pPr>
      <w:r>
        <w:t xml:space="preserve">Cost savings are visibly accelerating, improving confidence in the 2H26 earnings bridge.</w:t>
      </w:r>
    </w:p>
    <w:p>
      <w:pPr>
        <w:pStyle w:val="FirstParagraph"/>
      </w:pPr>
      <w:r>
        <w:rPr>
          <w:b/>
          <w:bCs/>
        </w:rPr>
        <w:t xml:space="preserve">Potential market interpretation:</w:t>
      </w:r>
      <w:r>
        <w:t xml:space="preserve"> </w:t>
      </w:r>
      <w:r>
        <w:t xml:space="preserve">Dow’s Americas advantage and cost program are producing a more durable earnings reset than expected.</w:t>
      </w:r>
    </w:p>
    <w:bookmarkEnd w:id="26"/>
    <w:bookmarkStart w:id="27" w:name="base-case"/>
    <w:p>
      <w:pPr>
        <w:pStyle w:val="Heading3"/>
      </w:pPr>
      <w:r>
        <w:t xml:space="preserve">Base case</w:t>
      </w:r>
    </w:p>
    <w:p>
      <w:pPr>
        <w:pStyle w:val="Compact"/>
        <w:numPr>
          <w:ilvl w:val="0"/>
          <w:numId w:val="1010"/>
        </w:numPr>
      </w:pPr>
      <w:r>
        <w:t xml:space="preserve">Results land near Dow’s</w:t>
      </w:r>
      <w:r>
        <w:t xml:space="preserve"> </w:t>
      </w:r>
      <w:r>
        <w:rPr>
          <w:b/>
          <w:bCs/>
        </w:rPr>
        <w:t xml:space="preserve">$2.0B EBITDA</w:t>
      </w:r>
      <w:r>
        <w:t xml:space="preserve"> </w:t>
      </w:r>
      <w:r>
        <w:t xml:space="preserve">outlook;</w:t>
      </w:r>
    </w:p>
    <w:p>
      <w:pPr>
        <w:pStyle w:val="Compact"/>
        <w:numPr>
          <w:ilvl w:val="0"/>
          <w:numId w:val="1010"/>
        </w:numPr>
      </w:pPr>
      <w:r>
        <w:t xml:space="preserve">P&amp;SP is strong, but other businesses and maintenance/licensing headwinds offset some upside;</w:t>
      </w:r>
    </w:p>
    <w:p>
      <w:pPr>
        <w:pStyle w:val="Compact"/>
        <w:numPr>
          <w:ilvl w:val="0"/>
          <w:numId w:val="1010"/>
        </w:numPr>
      </w:pPr>
      <w:r>
        <w:t xml:space="preserve">Management maintains a constructive but cautious 3Q outlook;</w:t>
      </w:r>
    </w:p>
    <w:p>
      <w:pPr>
        <w:pStyle w:val="Compact"/>
        <w:numPr>
          <w:ilvl w:val="0"/>
          <w:numId w:val="1010"/>
        </w:numPr>
      </w:pPr>
      <w:r>
        <w:t xml:space="preserve">Cash-flow commentary remains disciplined, without a major capital-allocation change.</w:t>
      </w:r>
    </w:p>
    <w:p>
      <w:pPr>
        <w:pStyle w:val="FirstParagraph"/>
      </w:pPr>
      <w:r>
        <w:rPr>
          <w:b/>
          <w:bCs/>
        </w:rPr>
        <w:t xml:space="preserve">Potential market interpretation:</w:t>
      </w:r>
      <w:r>
        <w:t xml:space="preserve"> </w:t>
      </w:r>
      <w:r>
        <w:t xml:space="preserve">Operational improvement is real, but largely anticipated; the stock response depends on whether the call supports a sustained 2027 earnings base.</w:t>
      </w:r>
    </w:p>
    <w:bookmarkEnd w:id="27"/>
    <w:bookmarkStart w:id="28" w:name="bear-case"/>
    <w:p>
      <w:pPr>
        <w:pStyle w:val="Heading3"/>
      </w:pPr>
      <w:r>
        <w:t xml:space="preserve">Bear case</w:t>
      </w:r>
    </w:p>
    <w:p>
      <w:pPr>
        <w:pStyle w:val="Compact"/>
        <w:numPr>
          <w:ilvl w:val="0"/>
          <w:numId w:val="1011"/>
        </w:numPr>
      </w:pPr>
      <w:r>
        <w:t xml:space="preserve">EBITDA misses the $2.0B guide or pricing realization falls short;</w:t>
      </w:r>
    </w:p>
    <w:p>
      <w:pPr>
        <w:pStyle w:val="Compact"/>
        <w:numPr>
          <w:ilvl w:val="0"/>
          <w:numId w:val="1011"/>
        </w:numPr>
      </w:pPr>
      <w:r>
        <w:t xml:space="preserve">Higher feedstock and logistics costs absorb more of the price increase than expected;</w:t>
      </w:r>
    </w:p>
    <w:p>
      <w:pPr>
        <w:pStyle w:val="Compact"/>
        <w:numPr>
          <w:ilvl w:val="0"/>
          <w:numId w:val="1011"/>
        </w:numPr>
      </w:pPr>
      <w:r>
        <w:t xml:space="preserve">Construction, mobility, or Asian demand weakens;</w:t>
      </w:r>
    </w:p>
    <w:p>
      <w:pPr>
        <w:pStyle w:val="Compact"/>
        <w:numPr>
          <w:ilvl w:val="0"/>
          <w:numId w:val="1011"/>
        </w:numPr>
      </w:pPr>
      <w:r>
        <w:t xml:space="preserve">Management signals rapid supply normalization, lower 3Q pricing, or further pressure in Sadara/Europe;</w:t>
      </w:r>
    </w:p>
    <w:p>
      <w:pPr>
        <w:pStyle w:val="Compact"/>
        <w:numPr>
          <w:ilvl w:val="0"/>
          <w:numId w:val="1011"/>
        </w:numPr>
      </w:pPr>
      <w:r>
        <w:t xml:space="preserve">Cash conversion disappoints as working capital absorbs the earnings rebound.</w:t>
      </w:r>
    </w:p>
    <w:p>
      <w:pPr>
        <w:pStyle w:val="FirstParagraph"/>
      </w:pPr>
      <w:r>
        <w:rPr>
          <w:b/>
          <w:bCs/>
        </w:rPr>
        <w:t xml:space="preserve">Potential market interpretation:</w:t>
      </w:r>
      <w:r>
        <w:t xml:space="preserve"> </w:t>
      </w:r>
      <w:r>
        <w:t xml:space="preserve">The 2Q rebound was a temporary geopolitical price spike rather than a structural recovery.</w:t>
      </w:r>
    </w:p>
    <w:p>
      <w:r>
        <w:pict>
          <v:rect style="width:0;height:1.5pt" o:hralign="center" o:hrstd="t" o:hr="t"/>
        </w:pict>
      </w:r>
    </w:p>
    <w:bookmarkEnd w:id="28"/>
    <w:bookmarkEnd w:id="29"/>
    <w:bookmarkStart w:id="30" w:name="X9116bec721e8ecc27edd7ff5882de2109353ab2"/>
    <w:p>
      <w:pPr>
        <w:pStyle w:val="Heading2"/>
      </w:pPr>
      <w:r>
        <w:t xml:space="preserve">Questions investors should ask on the call</w:t>
      </w:r>
    </w:p>
    <w:p>
      <w:pPr>
        <w:pStyle w:val="Compact"/>
        <w:numPr>
          <w:ilvl w:val="0"/>
          <w:numId w:val="1012"/>
        </w:numPr>
      </w:pPr>
      <w:r>
        <w:rPr>
          <w:b/>
          <w:bCs/>
        </w:rPr>
        <w:t xml:space="preserve">What portion of the April and May polyethylene pricing actions was realized in 2Q, and what is embedded in 3Q?</w:t>
      </w:r>
    </w:p>
    <w:p>
      <w:pPr>
        <w:pStyle w:val="Compact"/>
        <w:numPr>
          <w:ilvl w:val="0"/>
          <w:numId w:val="1012"/>
        </w:numPr>
      </w:pPr>
      <w:r>
        <w:rPr>
          <w:b/>
          <w:bCs/>
        </w:rPr>
        <w:t xml:space="preserve">How much of the margin benefit is attributable to price, volume/utilization, cost actions, and feedstock spreads?</w:t>
      </w:r>
    </w:p>
    <w:p>
      <w:pPr>
        <w:pStyle w:val="Compact"/>
        <w:numPr>
          <w:ilvl w:val="0"/>
          <w:numId w:val="1012"/>
        </w:numPr>
      </w:pPr>
      <w:r>
        <w:rPr>
          <w:b/>
          <w:bCs/>
        </w:rPr>
        <w:t xml:space="preserve">What is Dow assuming for the timing of Middle East supply-chain normalization?</w:t>
      </w:r>
    </w:p>
    <w:p>
      <w:pPr>
        <w:pStyle w:val="Compact"/>
        <w:numPr>
          <w:ilvl w:val="0"/>
          <w:numId w:val="1012"/>
        </w:numPr>
      </w:pPr>
      <w:r>
        <w:rPr>
          <w:b/>
          <w:bCs/>
        </w:rPr>
        <w:t xml:space="preserve">What does normalized P&amp;SP EBITDA look like if the current supply disruption recedes?</w:t>
      </w:r>
    </w:p>
    <w:p>
      <w:pPr>
        <w:pStyle w:val="Compact"/>
        <w:numPr>
          <w:ilvl w:val="0"/>
          <w:numId w:val="1012"/>
        </w:numPr>
      </w:pPr>
      <w:r>
        <w:rPr>
          <w:b/>
          <w:bCs/>
        </w:rPr>
        <w:t xml:space="preserve">Can Industrial Intermediates return to sustained profitability without a construction-market recovery?</w:t>
      </w:r>
    </w:p>
    <w:p>
      <w:pPr>
        <w:pStyle w:val="Compact"/>
        <w:numPr>
          <w:ilvl w:val="0"/>
          <w:numId w:val="1012"/>
        </w:numPr>
      </w:pPr>
      <w:r>
        <w:rPr>
          <w:b/>
          <w:bCs/>
        </w:rPr>
        <w:t xml:space="preserve">How much of the $1.1B 2026 self-help target is realized versus merely identified or expected?</w:t>
      </w:r>
    </w:p>
    <w:p>
      <w:pPr>
        <w:pStyle w:val="Compact"/>
        <w:numPr>
          <w:ilvl w:val="0"/>
          <w:numId w:val="1012"/>
        </w:numPr>
      </w:pPr>
      <w:r>
        <w:rPr>
          <w:b/>
          <w:bCs/>
        </w:rPr>
        <w:t xml:space="preserve">What are the next milestones for Sadara restructuring, and what cash or liability outcomes should investors model?</w:t>
      </w:r>
    </w:p>
    <w:p>
      <w:pPr>
        <w:pStyle w:val="Compact"/>
        <w:numPr>
          <w:ilvl w:val="0"/>
          <w:numId w:val="1012"/>
        </w:numPr>
      </w:pPr>
      <w:r>
        <w:rPr>
          <w:b/>
          <w:bCs/>
        </w:rPr>
        <w:t xml:space="preserve">How will the company prioritize deleveraging, dividends, buybacks, and Path2Zero capex under CEO Carter?</w:t>
      </w:r>
    </w:p>
    <w:p>
      <w:r>
        <w:pict>
          <v:rect style="width:0;height:1.5pt" o:hralign="center" o:hrstd="t" o:hr="t"/>
        </w:pict>
      </w:r>
    </w:p>
    <w:bookmarkEnd w:id="30"/>
    <w:bookmarkStart w:id="31" w:name="conclusion"/>
    <w:p>
      <w:pPr>
        <w:pStyle w:val="Heading2"/>
      </w:pPr>
      <w:r>
        <w:t xml:space="preserve">Conclusion</w:t>
      </w:r>
    </w:p>
    <w:p>
      <w:pPr>
        <w:pStyle w:val="FirstParagraph"/>
      </w:pPr>
      <w:r>
        <w:t xml:space="preserve">Dow’s 2Q26 report should show a dramatic sequential earnings recovery. The key challenge is that consensus already expects more than management’s formal EBITDA guide, while the market appears unconvinced that conflict-driven pricing is durable.</w:t>
      </w:r>
    </w:p>
    <w:p>
      <w:pPr>
        <w:pStyle w:val="BodyText"/>
      </w:pPr>
      <w:r>
        <w:t xml:space="preserve">For the stock, the most constructive outcome is not simply a strong 2Q print. It is a report that combines</w:t>
      </w:r>
      <w:r>
        <w:t xml:space="preserve"> </w:t>
      </w:r>
      <w:r>
        <w:rPr>
          <w:b/>
          <w:bCs/>
        </w:rPr>
        <w:t xml:space="preserve">pricing upside, P&amp;SP margin strength, credible self-help execution, improved cash conversion, and a disciplined 3Q/2027 framework</w:t>
      </w:r>
      <w:r>
        <w:t xml:space="preserve">. Conversely, any indication that higher prices are fading quickly—or that the earnings improvement is not translating into cash and balance-sheet repair—would reinforce the market’s skepticism.</w: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2026-07-23T00:11:02Z</dcterms:created>
  <dcterms:modified xsi:type="dcterms:W3CDTF">2026-07-23T00:11:02Z</dcterms:modified>
</cp:coreProperties>
</file>

<file path=docProps/custom.xml><?xml version="1.0" encoding="utf-8"?>
<Properties xmlns="http://schemas.openxmlformats.org/officeDocument/2006/custom-properties" xmlns:vt="http://schemas.openxmlformats.org/officeDocument/2006/docPropsVTypes"/>
</file>