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Dow Inc. (DOW) — Q2 2026 Earnings Preview</w:t>
      </w:r>
    </w:p>
    <w:p>
      <w:r>
        <w:rPr>
          <w:rFonts w:ascii="Calibri" w:hAnsi="Calibri"/>
          <w:b/>
          <w:color w:val="525866"/>
          <w:sz w:val="22"/>
        </w:rPr>
        <w:t xml:space="preserve">Ticker: </w:t>
      </w:r>
      <w:r>
        <w:rPr>
          <w:rFonts w:ascii="Calibri" w:hAnsi="Calibri"/>
          <w:color w:val="525866"/>
          <w:sz w:val="22"/>
        </w:rPr>
        <w:t xml:space="preserve">DOW  </w:t>
      </w:r>
      <w:r>
        <w:rPr>
          <w:rFonts w:ascii="Calibri" w:hAnsi="Calibri"/>
          <w:b/>
          <w:color w:val="525866"/>
          <w:sz w:val="22"/>
        </w:rPr>
        <w:t xml:space="preserve">Earnings Date: </w:t>
      </w:r>
      <w:r>
        <w:rPr>
          <w:rFonts w:ascii="Calibri" w:hAnsi="Calibri"/>
          <w:color w:val="525866"/>
          <w:sz w:val="22"/>
        </w:rPr>
        <w:t xml:space="preserve">July 23, 2026 (Pre-Market)  </w:t>
      </w:r>
      <w:r>
        <w:rPr>
          <w:rFonts w:ascii="Calibri" w:hAnsi="Calibri"/>
          <w:b/>
          <w:color w:val="525866"/>
          <w:sz w:val="22"/>
        </w:rPr>
        <w:t xml:space="preserve">Prepared: </w:t>
      </w:r>
      <w:r>
        <w:rPr>
          <w:rFonts w:ascii="Calibri" w:hAnsi="Calibri"/>
          <w:color w:val="525866"/>
          <w:sz w:val="22"/>
        </w:rPr>
        <w:t xml:space="preserve">July 22, 2026  </w:t>
      </w:r>
      <w:r>
        <w:rPr>
          <w:rFonts w:ascii="Calibri" w:hAnsi="Calibri"/>
          <w:b/>
          <w:color w:val="525866"/>
          <w:sz w:val="22"/>
        </w:rPr>
        <w:t xml:space="preserve">Reporting Period: </w:t>
      </w:r>
      <w:r>
        <w:rPr>
          <w:rFonts w:ascii="Calibri" w:hAnsi="Calibri"/>
          <w:color w:val="525866"/>
          <w:sz w:val="22"/>
        </w:rPr>
        <w:t>Q2 2026 (quarter ending June 30, 2026)</w:t>
      </w:r>
    </w:p>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b/>
          <w:color w:val="525866"/>
          <w:sz w:val="22"/>
        </w:rPr>
        <w:t xml:space="preserve">The setup favors a beat — management raised Q2 EBITDA guidance to ~$2.2B at the June 9 Wells Fargo conference (above prior $2.0B guide and above consensus), and a $0.20/lb June polyethylene price increase was announced but </w:t>
      </w:r>
      <w:r>
        <w:rPr>
          <w:rFonts w:ascii="Calibri" w:hAnsi="Calibri"/>
          <w:b/>
          <w:color w:val="525866"/>
          <w:sz w:val="22"/>
          <w:u w:val="single"/>
        </w:rPr>
        <w:t>not embedded in guidance</w:t>
      </w:r>
      <w:r>
        <w:rPr>
          <w:rFonts w:ascii="Calibri" w:hAnsi="Calibri"/>
          <w:b/>
          <w:color w:val="525866"/>
          <w:sz w:val="22"/>
        </w:rPr>
        <w:t>, representing additional upside; the single biggest swing factor is whether June PE pricing held and whether II&amp;I margins sustained their Q2 momentum.</w:t>
      </w:r>
    </w:p>
    <w:p>
      <w:r>
        <w:rPr>
          <w:rFonts w:ascii="Calibri" w:hAnsi="Calibri"/>
          <w:color w:val="525866"/>
          <w:sz w:val="22"/>
        </w:rPr>
        <w:t>Heading into Q2 2026 earnings, the bar for Dow is well-defined but arguably beatable: consensus EBITDA sits at ~$2.20B, precisely in line with management’s raised guidance from the June 9 Wells Fargo conference, yet that guidance explicitly excluded the $0.20/lb June polyethylene price increase — meaning any realization of that increase flows directly to upside. The Strait of Hormuz conflict, which began in late February 2026, has been the dominant macro driver: roughly half of global ethylene/polyethylene supply was offline or constrained as of Q1, and management’s own modeling suggested supply chain normalization would take 275+ days, implying the disruption persists well through Q2. Estimate revisions have moved sharply higher since the conflict began — consensus diluted EPS for Q2 surged from near-zero in early 2026 to ~$1.23 by July — reflecting the market’s recognition of Dow’s advantaged feedstock position (Americas cracker fleet running at very high utilization, propane-cracking assets in Europe benefiting from naphtha dislocation). The stock, however, has given back most of its conflict-driven rally, falling from ~$40+ in late April/early May to ~$30 by mid-July, as investors weigh the sustainability of conflict-driven pricing against the ongoing loss environment and skepticism about whether a ceasefire would unwind the supply shock quickly. The key wildcard is the June PE price settlement: management guided without it, Eastman Chemical confirmed no demand destruction as of early June, and Dow’s own order books showed no cancellations — but automotive demand softness (flagged by both Dow and Eastman) and any ceasefire speculation could have pressured June pricing.</w:t>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b/>
          <w:color w:val="525866"/>
          <w:sz w:val="22"/>
        </w:rPr>
        <w:t xml:space="preserve">Consensus EBITDA of $2.20B is exactly in line with management’s raised guidance, making it a </w:t>
      </w:r>
      <w:r>
        <w:rPr>
          <w:rFonts w:ascii="Calibri" w:hAnsi="Calibri"/>
          <w:b/>
          <w:color w:val="525866"/>
          <w:sz w:val="22"/>
        </w:rPr>
        <w:t>fair bar</w:t>
      </w:r>
      <w:r>
        <w:rPr>
          <w:rFonts w:ascii="Calibri" w:hAnsi="Calibri"/>
          <w:color w:val="525866"/>
          <w:sz w:val="22"/>
        </w:rPr>
        <w:t xml:space="preserve"> — but the unembedded June PE price increase and II&amp;I margin momentum make Operating EBITDA the bigger swing factor, with upside more likely than downside given the supply-constrained environment.</w:t>
      </w:r>
    </w:p>
    <w:p>
      <w:pPr>
        <w:pStyle w:val="Heading3"/>
      </w:pPr>
      <w:r>
        <w:rPr>
          <w:rFonts w:ascii="Calibri" w:hAnsi="Calibri"/>
          <w:b/>
          <w:color w:val="3B4259"/>
          <w:sz w:val="24"/>
        </w:rPr>
        <w:t>Table 1 — Current Quarter Snapshot (Q2 2026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 (Last Call)</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Total Revenue ($B)</w:t>
            </w:r>
          </w:p>
        </w:tc>
        <w:tc>
          <w:tcPr>
            <w:tcW w:type="dxa" w:w="1234"/>
          </w:tcPr>
          <w:p>
            <w:r>
              <w:rPr>
                <w:rFonts w:ascii="Calibri" w:hAnsi="Calibri"/>
                <w:sz w:val="22"/>
              </w:rPr>
              <w:t>$9.794B</w:t>
            </w:r>
          </w:p>
        </w:tc>
        <w:tc>
          <w:tcPr>
            <w:tcW w:type="dxa" w:w="1234"/>
          </w:tcPr>
          <w:p>
            <w:r>
              <w:rPr>
                <w:rFonts w:ascii="Calibri" w:hAnsi="Calibri"/>
                <w:sz w:val="22"/>
              </w:rPr>
              <w:t>$10.104B</w:t>
            </w:r>
          </w:p>
        </w:tc>
        <w:tc>
          <w:tcPr>
            <w:tcW w:type="dxa" w:w="1234"/>
          </w:tcPr>
          <w:p>
            <w:r>
              <w:rPr>
                <w:rFonts w:ascii="Calibri" w:hAnsi="Calibri"/>
                <w:sz w:val="22"/>
              </w:rPr>
              <w:t>$11.980B</w:t>
            </w:r>
          </w:p>
        </w:tc>
        <w:tc>
          <w:tcPr>
            <w:tcW w:type="dxa" w:w="1234"/>
          </w:tcPr>
          <w:p>
            <w:r>
              <w:rPr>
                <w:rFonts w:ascii="Calibri" w:hAnsi="Calibri"/>
                <w:b/>
                <w:color w:val="30A46C"/>
                <w:sz w:val="22"/>
              </w:rPr>
              <w:t>+18.6% YoY</w:t>
            </w:r>
          </w:p>
        </w:tc>
        <w:tc>
          <w:tcPr>
            <w:tcW w:type="dxa" w:w="1234"/>
          </w:tcPr>
          <w:p>
            <w:r>
              <w:rPr>
                <w:rFonts w:ascii="Calibri" w:hAnsi="Calibri"/>
                <w:sz w:val="22"/>
              </w:rPr>
              <w:t>~$12.0B</w:t>
            </w:r>
          </w:p>
        </w:tc>
        <w:tc>
          <w:tcPr>
            <w:tcW w:type="dxa" w:w="1234"/>
          </w:tcPr>
          <w:p>
            <w:r>
              <w:rPr>
                <w:rFonts w:ascii="Calibri" w:hAnsi="Calibri"/>
                <w:sz w:val="22"/>
              </w:rPr>
              <w:t>-0.2%</w:t>
            </w:r>
          </w:p>
        </w:tc>
      </w:tr>
      <w:tr>
        <w:tc>
          <w:tcPr>
            <w:tcW w:type="dxa" w:w="1234"/>
          </w:tcPr>
          <w:p>
            <w:r>
              <w:rPr>
                <w:rFonts w:ascii="Calibri" w:hAnsi="Calibri"/>
                <w:sz w:val="22"/>
              </w:rPr>
              <w:t>Operating EBITDA ($B)</w:t>
            </w:r>
          </w:p>
        </w:tc>
        <w:tc>
          <w:tcPr>
            <w:tcW w:type="dxa" w:w="1234"/>
          </w:tcPr>
          <w:p>
            <w:r>
              <w:rPr>
                <w:rFonts w:ascii="Calibri" w:hAnsi="Calibri"/>
                <w:sz w:val="22"/>
              </w:rPr>
              <w:t>$0.873B</w:t>
            </w:r>
          </w:p>
        </w:tc>
        <w:tc>
          <w:tcPr>
            <w:tcW w:type="dxa" w:w="1234"/>
          </w:tcPr>
          <w:p>
            <w:r>
              <w:rPr>
                <w:rFonts w:ascii="Calibri" w:hAnsi="Calibri"/>
                <w:sz w:val="22"/>
              </w:rPr>
              <w:t>$0.703B</w:t>
            </w:r>
          </w:p>
        </w:tc>
        <w:tc>
          <w:tcPr>
            <w:tcW w:type="dxa" w:w="1234"/>
          </w:tcPr>
          <w:p>
            <w:r>
              <w:rPr>
                <w:rFonts w:ascii="Calibri" w:hAnsi="Calibri"/>
                <w:sz w:val="22"/>
              </w:rPr>
              <w:t>$2.204B</w:t>
            </w:r>
          </w:p>
        </w:tc>
        <w:tc>
          <w:tcPr>
            <w:tcW w:type="dxa" w:w="1234"/>
          </w:tcPr>
          <w:p>
            <w:r>
              <w:rPr>
                <w:rFonts w:ascii="Calibri" w:hAnsi="Calibri"/>
                <w:b/>
                <w:color w:val="30A46C"/>
                <w:sz w:val="22"/>
              </w:rPr>
              <w:t>+213.5% YoY</w:t>
            </w:r>
          </w:p>
        </w:tc>
        <w:tc>
          <w:tcPr>
            <w:tcW w:type="dxa" w:w="1234"/>
          </w:tcPr>
          <w:p>
            <w:r>
              <w:rPr>
                <w:rFonts w:ascii="Calibri" w:hAnsi="Calibri"/>
                <w:sz w:val="22"/>
              </w:rPr>
              <w:t>~$2.2B (raised Jun 9)</w:t>
            </w:r>
          </w:p>
        </w:tc>
        <w:tc>
          <w:tcPr>
            <w:tcW w:type="dxa" w:w="1234"/>
          </w:tcPr>
          <w:p>
            <w:r>
              <w:rPr>
                <w:rFonts w:ascii="Calibri" w:hAnsi="Calibri"/>
                <w:sz w:val="22"/>
              </w:rPr>
              <w:t>+0.2%</w:t>
            </w:r>
          </w:p>
        </w:tc>
      </w:tr>
      <w:tr>
        <w:tc>
          <w:tcPr>
            <w:tcW w:type="dxa" w:w="1234"/>
          </w:tcPr>
          <w:p>
            <w:r>
              <w:rPr>
                <w:rFonts w:ascii="Calibri" w:hAnsi="Calibri"/>
                <w:sz w:val="22"/>
              </w:rPr>
              <w:t>EPS — Diluted Operating ($/sh)</w:t>
            </w:r>
          </w:p>
        </w:tc>
        <w:tc>
          <w:tcPr>
            <w:tcW w:type="dxa" w:w="1234"/>
          </w:tcPr>
          <w:p>
            <w:r>
              <w:rPr>
                <w:rFonts w:ascii="Calibri" w:hAnsi="Calibri"/>
                <w:sz w:val="22"/>
              </w:rPr>
              <w:t>-$0.136</w:t>
            </w:r>
          </w:p>
        </w:tc>
        <w:tc>
          <w:tcPr>
            <w:tcW w:type="dxa" w:w="1234"/>
          </w:tcPr>
          <w:p>
            <w:r>
              <w:rPr>
                <w:rFonts w:ascii="Calibri" w:hAnsi="Calibri"/>
                <w:sz w:val="22"/>
              </w:rPr>
              <w:t>-$0.420</w:t>
            </w:r>
          </w:p>
        </w:tc>
        <w:tc>
          <w:tcPr>
            <w:tcW w:type="dxa" w:w="1234"/>
          </w:tcPr>
          <w:p>
            <w:r>
              <w:rPr>
                <w:rFonts w:ascii="Calibri" w:hAnsi="Calibri"/>
                <w:sz w:val="22"/>
              </w:rPr>
              <w:t>$1.278</w:t>
            </w:r>
          </w:p>
        </w:tc>
        <w:tc>
          <w:tcPr>
            <w:tcW w:type="dxa" w:w="1234"/>
          </w:tcPr>
          <w:p>
            <w:r>
              <w:rPr>
                <w:rFonts w:ascii="Calibri" w:hAnsi="Calibri"/>
                <w:b/>
                <w:color w:val="30A46C"/>
                <w:sz w:val="22"/>
              </w:rPr>
              <w:t>N/M (loss to profit)</w:t>
            </w:r>
          </w:p>
        </w:tc>
        <w:tc>
          <w:tcPr>
            <w:tcW w:type="dxa" w:w="1234"/>
          </w:tcPr>
          <w:p>
            <w:r>
              <w:rPr>
                <w:rFonts w:ascii="Calibri" w:hAnsi="Calibri"/>
                <w:sz w:val="22"/>
              </w:rPr>
              <w:t>N/A (no EPS guide)</w:t>
            </w:r>
          </w:p>
        </w:tc>
        <w:tc>
          <w:tcPr>
            <w:tcW w:type="dxa" w:w="1234"/>
          </w:tcPr>
          <w:p>
            <w:r>
              <w:rPr>
                <w:rFonts w:ascii="Calibri" w:hAnsi="Calibri"/>
                <w:sz w:val="22"/>
              </w:rPr>
              <w:t>N/A</w:t>
            </w:r>
          </w:p>
        </w:tc>
      </w:tr>
      <w:tr>
        <w:tc>
          <w:tcPr>
            <w:tcW w:type="dxa" w:w="1234"/>
          </w:tcPr>
          <w:p>
            <w:r>
              <w:rPr>
                <w:rFonts w:ascii="Calibri" w:hAnsi="Calibri"/>
                <w:sz w:val="22"/>
              </w:rPr>
              <w:t>P&amp;SP Seg. EBITDA ($B)</w:t>
            </w:r>
          </w:p>
        </w:tc>
        <w:tc>
          <w:tcPr>
            <w:tcW w:type="dxa" w:w="1234"/>
          </w:tcPr>
          <w:p>
            <w:r>
              <w:rPr>
                <w:rFonts w:ascii="Calibri" w:hAnsi="Calibri"/>
                <w:sz w:val="22"/>
              </w:rPr>
              <w:t>$0.590B</w:t>
            </w:r>
          </w:p>
        </w:tc>
        <w:tc>
          <w:tcPr>
            <w:tcW w:type="dxa" w:w="1234"/>
          </w:tcPr>
          <w:p>
            <w:r>
              <w:rPr>
                <w:rFonts w:ascii="Calibri" w:hAnsi="Calibri"/>
                <w:sz w:val="22"/>
              </w:rPr>
              <w:t>$0.440B</w:t>
            </w:r>
          </w:p>
        </w:tc>
        <w:tc>
          <w:tcPr>
            <w:tcW w:type="dxa" w:w="1234"/>
          </w:tcPr>
          <w:p>
            <w:r>
              <w:rPr>
                <w:rFonts w:ascii="Calibri" w:hAnsi="Calibri"/>
                <w:sz w:val="22"/>
              </w:rPr>
              <w:t>$1.907B</w:t>
            </w:r>
          </w:p>
        </w:tc>
        <w:tc>
          <w:tcPr>
            <w:tcW w:type="dxa" w:w="1234"/>
          </w:tcPr>
          <w:p>
            <w:r>
              <w:rPr>
                <w:rFonts w:ascii="Calibri" w:hAnsi="Calibri"/>
                <w:b/>
                <w:color w:val="30A46C"/>
                <w:sz w:val="22"/>
              </w:rPr>
              <w:t>+333.4% YoY</w:t>
            </w:r>
          </w:p>
        </w:tc>
        <w:tc>
          <w:tcPr>
            <w:tcW w:type="dxa" w:w="1234"/>
          </w:tcPr>
          <w:p>
            <w:r>
              <w:rPr>
                <w:rFonts w:ascii="Calibri" w:hAnsi="Calibri"/>
                <w:sz w:val="22"/>
              </w:rPr>
              <w:t>Upside from PE pricing</w:t>
            </w:r>
          </w:p>
        </w:tc>
        <w:tc>
          <w:tcPr>
            <w:tcW w:type="dxa" w:w="1234"/>
          </w:tcPr>
          <w:p>
            <w:r>
              <w:rPr>
                <w:rFonts w:ascii="Calibri" w:hAnsi="Calibri"/>
                <w:sz w:val="22"/>
              </w:rPr>
              <w:t>N/A</w:t>
            </w:r>
          </w:p>
        </w:tc>
      </w:tr>
      <w:tr>
        <w:tc>
          <w:tcPr>
            <w:tcW w:type="dxa" w:w="1234"/>
          </w:tcPr>
          <w:p>
            <w:r>
              <w:rPr>
                <w:rFonts w:ascii="Calibri" w:hAnsi="Calibri"/>
                <w:sz w:val="22"/>
              </w:rPr>
              <w:t>II&amp;I Seg. EBITDA ($B)</w:t>
            </w:r>
          </w:p>
        </w:tc>
        <w:tc>
          <w:tcPr>
            <w:tcW w:type="dxa" w:w="1234"/>
          </w:tcPr>
          <w:p>
            <w:r>
              <w:rPr>
                <w:rFonts w:ascii="Calibri" w:hAnsi="Calibri"/>
                <w:sz w:val="22"/>
              </w:rPr>
              <w:t>$0.030B</w:t>
            </w:r>
          </w:p>
        </w:tc>
        <w:tc>
          <w:tcPr>
            <w:tcW w:type="dxa" w:w="1234"/>
          </w:tcPr>
          <w:p>
            <w:r>
              <w:rPr>
                <w:rFonts w:ascii="Calibri" w:hAnsi="Calibri"/>
                <w:sz w:val="22"/>
              </w:rPr>
              <w:t>-$0.032B</w:t>
            </w:r>
          </w:p>
        </w:tc>
        <w:tc>
          <w:tcPr>
            <w:tcW w:type="dxa" w:w="1234"/>
          </w:tcPr>
          <w:p>
            <w:r>
              <w:rPr>
                <w:rFonts w:ascii="Calibri" w:hAnsi="Calibri"/>
                <w:sz w:val="22"/>
              </w:rPr>
              <w:t>$0.064B</w:t>
            </w:r>
          </w:p>
        </w:tc>
        <w:tc>
          <w:tcPr>
            <w:tcW w:type="dxa" w:w="1234"/>
          </w:tcPr>
          <w:p>
            <w:r>
              <w:rPr>
                <w:rFonts w:ascii="Calibri" w:hAnsi="Calibri"/>
                <w:b/>
                <w:color w:val="30A46C"/>
                <w:sz w:val="22"/>
              </w:rPr>
              <w:t>N/M (loss to profit)</w:t>
            </w:r>
          </w:p>
        </w:tc>
        <w:tc>
          <w:tcPr>
            <w:tcW w:type="dxa" w:w="1234"/>
          </w:tcPr>
          <w:p>
            <w:r>
              <w:rPr>
                <w:rFonts w:ascii="Calibri" w:hAnsi="Calibri"/>
                <w:sz w:val="22"/>
              </w:rPr>
              <w:t>Polyols/MDI upside</w:t>
            </w:r>
          </w:p>
        </w:tc>
        <w:tc>
          <w:tcPr>
            <w:tcW w:type="dxa" w:w="1234"/>
          </w:tcPr>
          <w:p>
            <w:r>
              <w:rPr>
                <w:rFonts w:ascii="Calibri" w:hAnsi="Calibri"/>
                <w:sz w:val="22"/>
              </w:rPr>
              <w:t>N/A</w:t>
            </w:r>
          </w:p>
        </w:tc>
      </w:tr>
      <w:tr>
        <w:tc>
          <w:tcPr>
            <w:tcW w:type="dxa" w:w="1234"/>
          </w:tcPr>
          <w:p>
            <w:r>
              <w:rPr>
                <w:rFonts w:ascii="Calibri" w:hAnsi="Calibri"/>
                <w:sz w:val="22"/>
              </w:rPr>
              <w:t>PM&amp;C Seg. EBITDA ($B)</w:t>
            </w:r>
          </w:p>
        </w:tc>
        <w:tc>
          <w:tcPr>
            <w:tcW w:type="dxa" w:w="1234"/>
          </w:tcPr>
          <w:p>
            <w:r>
              <w:rPr>
                <w:rFonts w:ascii="Calibri" w:hAnsi="Calibri"/>
                <w:sz w:val="22"/>
              </w:rPr>
              <w:t>$0.298B</w:t>
            </w:r>
          </w:p>
        </w:tc>
        <w:tc>
          <w:tcPr>
            <w:tcW w:type="dxa" w:w="1234"/>
          </w:tcPr>
          <w:p>
            <w:r>
              <w:rPr>
                <w:rFonts w:ascii="Calibri" w:hAnsi="Calibri"/>
                <w:sz w:val="22"/>
              </w:rPr>
              <w:t>$0.344B</w:t>
            </w:r>
          </w:p>
        </w:tc>
        <w:tc>
          <w:tcPr>
            <w:tcW w:type="dxa" w:w="1234"/>
          </w:tcPr>
          <w:p>
            <w:r>
              <w:rPr>
                <w:rFonts w:ascii="Calibri" w:hAnsi="Calibri"/>
                <w:sz w:val="22"/>
              </w:rPr>
              <w:t>$0.281B</w:t>
            </w:r>
          </w:p>
        </w:tc>
        <w:tc>
          <w:tcPr>
            <w:tcW w:type="dxa" w:w="1234"/>
          </w:tcPr>
          <w:p>
            <w:r>
              <w:rPr>
                <w:rFonts w:ascii="Calibri" w:hAnsi="Calibri"/>
                <w:b/>
                <w:color w:val="E5484D"/>
                <w:sz w:val="22"/>
              </w:rPr>
              <w:t>-18.3% YoY</w:t>
            </w:r>
          </w:p>
        </w:tc>
        <w:tc>
          <w:tcPr>
            <w:tcW w:type="dxa" w:w="1234"/>
          </w:tcPr>
          <w:p>
            <w:r>
              <w:rPr>
                <w:rFonts w:ascii="Calibri" w:hAnsi="Calibri"/>
                <w:sz w:val="22"/>
              </w:rPr>
              <w:t>N/A</w:t>
            </w:r>
          </w:p>
        </w:tc>
        <w:tc>
          <w:tcPr>
            <w:tcW w:type="dxa" w:w="1234"/>
          </w:tcPr>
          <w:p>
            <w:r>
              <w:rPr>
                <w:rFonts w:ascii="Calibri" w:hAnsi="Calibri"/>
                <w:sz w:val="22"/>
              </w:rPr>
              <w:t>N/A</w:t>
            </w:r>
          </w:p>
        </w:tc>
      </w:tr>
    </w:tbl>
    <w:p>
      <w:r>
        <w:rPr>
          <w:rFonts w:ascii="Calibri" w:hAnsi="Calibri"/>
          <w:i/>
          <w:color w:val="525866"/>
          <w:sz w:val="22"/>
        </w:rPr>
        <w:t>Source: Visible Alpha Consensus and Actuals Data. P&amp;SP = Packaging &amp; Specialty Plastics; II&amp;I = Industrial Intermediates &amp; Infrastructure; PM&amp;C = Performance Materials &amp; Coatings. Q2 2026 consensus as of July 22, 2026. Guidance from Q1 2026 earnings call (April 23, 2026) and Wells Fargo Industrials &amp; Materials Conference (June 9, 2026).</w:t>
      </w:r>
    </w:p>
    <w:p>
      <w:pPr>
        <w:pStyle w:val="Heading3"/>
      </w:pPr>
      <w:r>
        <w:rPr>
          <w:rFonts w:ascii="Calibri" w:hAnsi="Calibri"/>
          <w:b/>
          <w:color w:val="3B4259"/>
          <w:sz w:val="24"/>
        </w:rPr>
        <w:t>Table 2 — Beat/Miss History (Last 8 Quarters, Top 2 KPIs)</w:t>
      </w:r>
    </w:p>
    <w:p>
      <w:r>
        <w:rPr>
          <w:rFonts w:ascii="Calibri" w:hAnsi="Calibri"/>
          <w:b/>
          <w:color w:val="525866"/>
          <w:sz w:val="22"/>
        </w:rPr>
        <w:t>KPI 1: Operating EBITDA</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($B)</w:t>
            </w:r>
          </w:p>
        </w:tc>
        <w:tc>
          <w:tcPr>
            <w:tcW w:type="dxa" w:w="1728"/>
            <w:shd w:val="clear" w:color="auto" w:fill="3B4259"/>
          </w:tcPr>
          <w:p>
            <w:r>
              <w:rPr>
                <w:rFonts w:ascii="Calibri" w:hAnsi="Calibri"/>
                <w:b/>
                <w:color w:val="FFFFFF"/>
                <w:sz w:val="22"/>
              </w:rPr>
              <w:t>Consensus ($B)</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$1.501B</w:t>
            </w:r>
          </w:p>
        </w:tc>
        <w:tc>
          <w:tcPr>
            <w:tcW w:type="dxa" w:w="1728"/>
          </w:tcPr>
          <w:p>
            <w:r>
              <w:rPr>
                <w:rFonts w:ascii="Calibri" w:hAnsi="Calibri"/>
                <w:sz w:val="22"/>
              </w:rPr>
              <w:t>$1.559B</w:t>
            </w:r>
          </w:p>
        </w:tc>
        <w:tc>
          <w:tcPr>
            <w:tcW w:type="dxa" w:w="1728"/>
          </w:tcPr>
          <w:p>
            <w:r>
              <w:rPr>
                <w:rFonts w:ascii="Calibri" w:hAnsi="Calibri"/>
                <w:b/>
                <w:color w:val="E5484D"/>
                <w:sz w:val="22"/>
              </w:rPr>
              <w:t>-3.7%</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$1.382B</w:t>
            </w:r>
          </w:p>
        </w:tc>
        <w:tc>
          <w:tcPr>
            <w:tcW w:type="dxa" w:w="1728"/>
          </w:tcPr>
          <w:p>
            <w:r>
              <w:rPr>
                <w:rFonts w:ascii="Calibri" w:hAnsi="Calibri"/>
                <w:sz w:val="22"/>
              </w:rPr>
              <w:t>$1.307B</w:t>
            </w:r>
          </w:p>
        </w:tc>
        <w:tc>
          <w:tcPr>
            <w:tcW w:type="dxa" w:w="1728"/>
          </w:tcPr>
          <w:p>
            <w:r>
              <w:rPr>
                <w:rFonts w:ascii="Calibri" w:hAnsi="Calibri"/>
                <w:b/>
                <w:color w:val="30A46C"/>
                <w:sz w:val="22"/>
              </w:rPr>
              <w:t>+5.7%</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$1.205B</w:t>
            </w:r>
          </w:p>
        </w:tc>
        <w:tc>
          <w:tcPr>
            <w:tcW w:type="dxa" w:w="1728"/>
          </w:tcPr>
          <w:p>
            <w:r>
              <w:rPr>
                <w:rFonts w:ascii="Calibri" w:hAnsi="Calibri"/>
                <w:sz w:val="22"/>
              </w:rPr>
              <w:t>$1.158B</w:t>
            </w:r>
          </w:p>
        </w:tc>
        <w:tc>
          <w:tcPr>
            <w:tcW w:type="dxa" w:w="1728"/>
          </w:tcPr>
          <w:p>
            <w:r>
              <w:rPr>
                <w:rFonts w:ascii="Calibri" w:hAnsi="Calibri"/>
                <w:b/>
                <w:color w:val="30A46C"/>
                <w:sz w:val="22"/>
              </w:rPr>
              <w:t>+4.1%</w:t>
            </w:r>
          </w:p>
        </w:tc>
        <w:tc>
          <w:tcPr>
            <w:tcW w:type="dxa" w:w="1728"/>
          </w:tcPr>
          <w:p>
            <w:r>
              <w:rPr>
                <w:rFonts w:ascii="Calibri" w:hAnsi="Calibri"/>
                <w:sz w:val="22"/>
              </w:rPr>
              <w:t>Beat</w:t>
            </w:r>
          </w:p>
        </w:tc>
      </w:tr>
      <w:tr>
        <w:tc>
          <w:tcPr>
            <w:tcW w:type="dxa" w:w="1728"/>
          </w:tcPr>
          <w:p>
            <w:r>
              <w:rPr>
                <w:rFonts w:ascii="Calibri" w:hAnsi="Calibri"/>
                <w:sz w:val="22"/>
              </w:rPr>
              <w:t>Q1 2025</w:t>
            </w:r>
          </w:p>
        </w:tc>
        <w:tc>
          <w:tcPr>
            <w:tcW w:type="dxa" w:w="1728"/>
          </w:tcPr>
          <w:p>
            <w:r>
              <w:rPr>
                <w:rFonts w:ascii="Calibri" w:hAnsi="Calibri"/>
                <w:sz w:val="22"/>
              </w:rPr>
              <w:t>$0.944B</w:t>
            </w:r>
          </w:p>
        </w:tc>
        <w:tc>
          <w:tcPr>
            <w:tcW w:type="dxa" w:w="1728"/>
          </w:tcPr>
          <w:p>
            <w:r>
              <w:rPr>
                <w:rFonts w:ascii="Calibri" w:hAnsi="Calibri"/>
                <w:sz w:val="22"/>
              </w:rPr>
              <w:t>$0.913B</w:t>
            </w:r>
          </w:p>
        </w:tc>
        <w:tc>
          <w:tcPr>
            <w:tcW w:type="dxa" w:w="1728"/>
          </w:tcPr>
          <w:p>
            <w:r>
              <w:rPr>
                <w:rFonts w:ascii="Calibri" w:hAnsi="Calibri"/>
                <w:b/>
                <w:color w:val="30A46C"/>
                <w:sz w:val="22"/>
              </w:rPr>
              <w:t>+3.4%</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$0.703B</w:t>
            </w:r>
          </w:p>
        </w:tc>
        <w:tc>
          <w:tcPr>
            <w:tcW w:type="dxa" w:w="1728"/>
          </w:tcPr>
          <w:p>
            <w:r>
              <w:rPr>
                <w:rFonts w:ascii="Calibri" w:hAnsi="Calibri"/>
                <w:sz w:val="22"/>
              </w:rPr>
              <w:t>$0.767B</w:t>
            </w:r>
          </w:p>
        </w:tc>
        <w:tc>
          <w:tcPr>
            <w:tcW w:type="dxa" w:w="1728"/>
          </w:tcPr>
          <w:p>
            <w:r>
              <w:rPr>
                <w:rFonts w:ascii="Calibri" w:hAnsi="Calibri"/>
                <w:b/>
                <w:color w:val="E5484D"/>
                <w:sz w:val="22"/>
              </w:rPr>
              <w:t>-8.3%</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$0.868B</w:t>
            </w:r>
          </w:p>
        </w:tc>
        <w:tc>
          <w:tcPr>
            <w:tcW w:type="dxa" w:w="1728"/>
          </w:tcPr>
          <w:p>
            <w:r>
              <w:rPr>
                <w:rFonts w:ascii="Calibri" w:hAnsi="Calibri"/>
                <w:sz w:val="22"/>
              </w:rPr>
              <w:t>$0.759B</w:t>
            </w:r>
          </w:p>
        </w:tc>
        <w:tc>
          <w:tcPr>
            <w:tcW w:type="dxa" w:w="1728"/>
          </w:tcPr>
          <w:p>
            <w:r>
              <w:rPr>
                <w:rFonts w:ascii="Calibri" w:hAnsi="Calibri"/>
                <w:b/>
                <w:color w:val="30A46C"/>
                <w:sz w:val="22"/>
              </w:rPr>
              <w:t>+14.4%</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$0.741B</w:t>
            </w:r>
          </w:p>
        </w:tc>
        <w:tc>
          <w:tcPr>
            <w:tcW w:type="dxa" w:w="1728"/>
          </w:tcPr>
          <w:p>
            <w:r>
              <w:rPr>
                <w:rFonts w:ascii="Calibri" w:hAnsi="Calibri"/>
                <w:sz w:val="22"/>
              </w:rPr>
              <w:t>$0.659B</w:t>
            </w:r>
          </w:p>
        </w:tc>
        <w:tc>
          <w:tcPr>
            <w:tcW w:type="dxa" w:w="1728"/>
          </w:tcPr>
          <w:p>
            <w:r>
              <w:rPr>
                <w:rFonts w:ascii="Calibri" w:hAnsi="Calibri"/>
                <w:b/>
                <w:color w:val="30A46C"/>
                <w:sz w:val="22"/>
              </w:rPr>
              <w:t>+12.4%</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$0.873B</w:t>
            </w:r>
          </w:p>
        </w:tc>
        <w:tc>
          <w:tcPr>
            <w:tcW w:type="dxa" w:w="1728"/>
          </w:tcPr>
          <w:p>
            <w:r>
              <w:rPr>
                <w:rFonts w:ascii="Calibri" w:hAnsi="Calibri"/>
                <w:sz w:val="22"/>
              </w:rPr>
              <w:t>$0.784B</w:t>
            </w:r>
          </w:p>
        </w:tc>
        <w:tc>
          <w:tcPr>
            <w:tcW w:type="dxa" w:w="1728"/>
          </w:tcPr>
          <w:p>
            <w:r>
              <w:rPr>
                <w:rFonts w:ascii="Calibri" w:hAnsi="Calibri"/>
                <w:b/>
                <w:color w:val="30A46C"/>
                <w:sz w:val="22"/>
              </w:rPr>
              <w:t>+11.3%</w:t>
            </w:r>
          </w:p>
        </w:tc>
        <w:tc>
          <w:tcPr>
            <w:tcW w:type="dxa" w:w="1728"/>
          </w:tcPr>
          <w:p>
            <w:r>
              <w:rPr>
                <w:rFonts w:ascii="Calibri" w:hAnsi="Calibri"/>
                <w:sz w:val="22"/>
              </w:rPr>
              <w:t>Beat</w:t>
            </w:r>
          </w:p>
        </w:tc>
      </w:tr>
    </w:tbl>
    <w:p>
      <w:r>
        <w:rPr>
          <w:rFonts w:ascii="Calibri" w:hAnsi="Calibri"/>
          <w:b/>
          <w:color w:val="525866"/>
          <w:sz w:val="22"/>
        </w:rPr>
        <w:t>KPI 2: EPS — Diluted Operating</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Quarter</w:t>
            </w:r>
          </w:p>
        </w:tc>
        <w:tc>
          <w:tcPr>
            <w:tcW w:type="dxa" w:w="1728"/>
            <w:shd w:val="clear" w:color="auto" w:fill="3B4259"/>
          </w:tcPr>
          <w:p>
            <w:r>
              <w:rPr>
                <w:rFonts w:ascii="Calibri" w:hAnsi="Calibri"/>
                <w:b/>
                <w:color w:val="FFFFFF"/>
                <w:sz w:val="22"/>
              </w:rPr>
              <w:t>Reported ($/sh)</w:t>
            </w:r>
          </w:p>
        </w:tc>
        <w:tc>
          <w:tcPr>
            <w:tcW w:type="dxa" w:w="1728"/>
            <w:shd w:val="clear" w:color="auto" w:fill="3B4259"/>
          </w:tcPr>
          <w:p>
            <w:r>
              <w:rPr>
                <w:rFonts w:ascii="Calibri" w:hAnsi="Calibri"/>
                <w:b/>
                <w:color w:val="FFFFFF"/>
                <w:sz w:val="22"/>
              </w:rPr>
              <w:t>Consensus ($/sh)</w:t>
            </w:r>
          </w:p>
        </w:tc>
        <w:tc>
          <w:tcPr>
            <w:tcW w:type="dxa" w:w="1728"/>
            <w:shd w:val="clear" w:color="auto" w:fill="3B4259"/>
          </w:tcPr>
          <w:p>
            <w:r>
              <w:rPr>
                <w:rFonts w:ascii="Calibri" w:hAnsi="Calibri"/>
                <w:b/>
                <w:color w:val="FFFFFF"/>
                <w:sz w:val="22"/>
              </w:rPr>
              <w:t>Surprise %</w:t>
            </w:r>
          </w:p>
        </w:tc>
        <w:tc>
          <w:tcPr>
            <w:tcW w:type="dxa" w:w="1728"/>
            <w:shd w:val="clear" w:color="auto" w:fill="3B4259"/>
          </w:tcPr>
          <w:p>
            <w:r>
              <w:rPr>
                <w:rFonts w:ascii="Calibri" w:hAnsi="Calibri"/>
                <w:b/>
                <w:color w:val="FFFFFF"/>
                <w:sz w:val="22"/>
              </w:rPr>
              <w:t>Result</w:t>
            </w:r>
          </w:p>
        </w:tc>
      </w:tr>
      <w:tr>
        <w:tc>
          <w:tcPr>
            <w:tcW w:type="dxa" w:w="1728"/>
          </w:tcPr>
          <w:p>
            <w:r>
              <w:rPr>
                <w:rFonts w:ascii="Calibri" w:hAnsi="Calibri"/>
                <w:sz w:val="22"/>
              </w:rPr>
              <w:t>Q2 2024</w:t>
            </w:r>
          </w:p>
        </w:tc>
        <w:tc>
          <w:tcPr>
            <w:tcW w:type="dxa" w:w="1728"/>
          </w:tcPr>
          <w:p>
            <w:r>
              <w:rPr>
                <w:rFonts w:ascii="Calibri" w:hAnsi="Calibri"/>
                <w:sz w:val="22"/>
              </w:rPr>
              <w:t>$0.68</w:t>
            </w:r>
          </w:p>
        </w:tc>
        <w:tc>
          <w:tcPr>
            <w:tcW w:type="dxa" w:w="1728"/>
          </w:tcPr>
          <w:p>
            <w:r>
              <w:rPr>
                <w:rFonts w:ascii="Calibri" w:hAnsi="Calibri"/>
                <w:sz w:val="22"/>
              </w:rPr>
              <w:t>$0.72</w:t>
            </w:r>
          </w:p>
        </w:tc>
        <w:tc>
          <w:tcPr>
            <w:tcW w:type="dxa" w:w="1728"/>
          </w:tcPr>
          <w:p>
            <w:r>
              <w:rPr>
                <w:rFonts w:ascii="Calibri" w:hAnsi="Calibri"/>
                <w:b/>
                <w:color w:val="E5484D"/>
                <w:sz w:val="22"/>
              </w:rPr>
              <w:t>-5.6%</w:t>
            </w:r>
          </w:p>
        </w:tc>
        <w:tc>
          <w:tcPr>
            <w:tcW w:type="dxa" w:w="1728"/>
          </w:tcPr>
          <w:p>
            <w:r>
              <w:rPr>
                <w:rFonts w:ascii="Calibri" w:hAnsi="Calibri"/>
                <w:sz w:val="22"/>
              </w:rPr>
              <w:t>Miss</w:t>
            </w:r>
          </w:p>
        </w:tc>
      </w:tr>
      <w:tr>
        <w:tc>
          <w:tcPr>
            <w:tcW w:type="dxa" w:w="1728"/>
          </w:tcPr>
          <w:p>
            <w:r>
              <w:rPr>
                <w:rFonts w:ascii="Calibri" w:hAnsi="Calibri"/>
                <w:sz w:val="22"/>
              </w:rPr>
              <w:t>Q3 2024</w:t>
            </w:r>
          </w:p>
        </w:tc>
        <w:tc>
          <w:tcPr>
            <w:tcW w:type="dxa" w:w="1728"/>
          </w:tcPr>
          <w:p>
            <w:r>
              <w:rPr>
                <w:rFonts w:ascii="Calibri" w:hAnsi="Calibri"/>
                <w:sz w:val="22"/>
              </w:rPr>
              <w:t>$0.47</w:t>
            </w:r>
          </w:p>
        </w:tc>
        <w:tc>
          <w:tcPr>
            <w:tcW w:type="dxa" w:w="1728"/>
          </w:tcPr>
          <w:p>
            <w:r>
              <w:rPr>
                <w:rFonts w:ascii="Calibri" w:hAnsi="Calibri"/>
                <w:sz w:val="22"/>
              </w:rPr>
              <w:t>$0.45</w:t>
            </w:r>
          </w:p>
        </w:tc>
        <w:tc>
          <w:tcPr>
            <w:tcW w:type="dxa" w:w="1728"/>
          </w:tcPr>
          <w:p>
            <w:r>
              <w:rPr>
                <w:rFonts w:ascii="Calibri" w:hAnsi="Calibri"/>
                <w:b/>
                <w:color w:val="30A46C"/>
                <w:sz w:val="22"/>
              </w:rPr>
              <w:t>+4.4%</w:t>
            </w:r>
          </w:p>
        </w:tc>
        <w:tc>
          <w:tcPr>
            <w:tcW w:type="dxa" w:w="1728"/>
          </w:tcPr>
          <w:p>
            <w:r>
              <w:rPr>
                <w:rFonts w:ascii="Calibri" w:hAnsi="Calibri"/>
                <w:sz w:val="22"/>
              </w:rPr>
              <w:t>Beat</w:t>
            </w:r>
          </w:p>
        </w:tc>
      </w:tr>
      <w:tr>
        <w:tc>
          <w:tcPr>
            <w:tcW w:type="dxa" w:w="1728"/>
          </w:tcPr>
          <w:p>
            <w:r>
              <w:rPr>
                <w:rFonts w:ascii="Calibri" w:hAnsi="Calibri"/>
                <w:sz w:val="22"/>
              </w:rPr>
              <w:t>Q4 2024</w:t>
            </w:r>
          </w:p>
        </w:tc>
        <w:tc>
          <w:tcPr>
            <w:tcW w:type="dxa" w:w="1728"/>
          </w:tcPr>
          <w:p>
            <w:r>
              <w:rPr>
                <w:rFonts w:ascii="Calibri" w:hAnsi="Calibri"/>
                <w:sz w:val="22"/>
              </w:rPr>
              <w:t>$0.003</w:t>
            </w:r>
          </w:p>
        </w:tc>
        <w:tc>
          <w:tcPr>
            <w:tcW w:type="dxa" w:w="1728"/>
          </w:tcPr>
          <w:p>
            <w:r>
              <w:rPr>
                <w:rFonts w:ascii="Calibri" w:hAnsi="Calibri"/>
                <w:sz w:val="22"/>
              </w:rPr>
              <w:t>$0.22</w:t>
            </w:r>
          </w:p>
        </w:tc>
        <w:tc>
          <w:tcPr>
            <w:tcW w:type="dxa" w:w="1728"/>
          </w:tcPr>
          <w:p>
            <w:r>
              <w:rPr>
                <w:rFonts w:ascii="Calibri" w:hAnsi="Calibri"/>
                <w:b/>
                <w:color w:val="E5484D"/>
                <w:sz w:val="22"/>
              </w:rPr>
              <w:t>-98.6%</w:t>
            </w:r>
          </w:p>
        </w:tc>
        <w:tc>
          <w:tcPr>
            <w:tcW w:type="dxa" w:w="1728"/>
          </w:tcPr>
          <w:p>
            <w:r>
              <w:rPr>
                <w:rFonts w:ascii="Calibri" w:hAnsi="Calibri"/>
                <w:sz w:val="22"/>
              </w:rPr>
              <w:t>Miss</w:t>
            </w:r>
          </w:p>
        </w:tc>
      </w:tr>
      <w:tr>
        <w:tc>
          <w:tcPr>
            <w:tcW w:type="dxa" w:w="1728"/>
          </w:tcPr>
          <w:p>
            <w:r>
              <w:rPr>
                <w:rFonts w:ascii="Calibri" w:hAnsi="Calibri"/>
                <w:sz w:val="22"/>
              </w:rPr>
              <w:t>Q1 2025</w:t>
            </w:r>
          </w:p>
        </w:tc>
        <w:tc>
          <w:tcPr>
            <w:tcW w:type="dxa" w:w="1728"/>
          </w:tcPr>
          <w:p>
            <w:r>
              <w:rPr>
                <w:rFonts w:ascii="Calibri" w:hAnsi="Calibri"/>
                <w:sz w:val="22"/>
              </w:rPr>
              <w:t>$0.02</w:t>
            </w:r>
          </w:p>
        </w:tc>
        <w:tc>
          <w:tcPr>
            <w:tcW w:type="dxa" w:w="1728"/>
          </w:tcPr>
          <w:p>
            <w:r>
              <w:rPr>
                <w:rFonts w:ascii="Calibri" w:hAnsi="Calibri"/>
                <w:sz w:val="22"/>
              </w:rPr>
              <w:t>-$0.02</w:t>
            </w:r>
          </w:p>
        </w:tc>
        <w:tc>
          <w:tcPr>
            <w:tcW w:type="dxa" w:w="1728"/>
          </w:tcPr>
          <w:p>
            <w:r>
              <w:rPr>
                <w:rFonts w:ascii="Calibri" w:hAnsi="Calibri"/>
                <w:b/>
                <w:color w:val="30A46C"/>
                <w:sz w:val="22"/>
              </w:rPr>
              <w:t>N/M</w:t>
            </w:r>
          </w:p>
        </w:tc>
        <w:tc>
          <w:tcPr>
            <w:tcW w:type="dxa" w:w="1728"/>
          </w:tcPr>
          <w:p>
            <w:r>
              <w:rPr>
                <w:rFonts w:ascii="Calibri" w:hAnsi="Calibri"/>
                <w:sz w:val="22"/>
              </w:rPr>
              <w:t>Beat</w:t>
            </w:r>
          </w:p>
        </w:tc>
      </w:tr>
      <w:tr>
        <w:tc>
          <w:tcPr>
            <w:tcW w:type="dxa" w:w="1728"/>
          </w:tcPr>
          <w:p>
            <w:r>
              <w:rPr>
                <w:rFonts w:ascii="Calibri" w:hAnsi="Calibri"/>
                <w:sz w:val="22"/>
              </w:rPr>
              <w:t>Q2 2025</w:t>
            </w:r>
          </w:p>
        </w:tc>
        <w:tc>
          <w:tcPr>
            <w:tcW w:type="dxa" w:w="1728"/>
          </w:tcPr>
          <w:p>
            <w:r>
              <w:rPr>
                <w:rFonts w:ascii="Calibri" w:hAnsi="Calibri"/>
                <w:sz w:val="22"/>
              </w:rPr>
              <w:t>-$0.42</w:t>
            </w:r>
          </w:p>
        </w:tc>
        <w:tc>
          <w:tcPr>
            <w:tcW w:type="dxa" w:w="1728"/>
          </w:tcPr>
          <w:p>
            <w:r>
              <w:rPr>
                <w:rFonts w:ascii="Calibri" w:hAnsi="Calibri"/>
                <w:sz w:val="22"/>
              </w:rPr>
              <w:t>-$0.18</w:t>
            </w:r>
          </w:p>
        </w:tc>
        <w:tc>
          <w:tcPr>
            <w:tcW w:type="dxa" w:w="1728"/>
          </w:tcPr>
          <w:p>
            <w:r>
              <w:rPr>
                <w:rFonts w:ascii="Calibri" w:hAnsi="Calibri"/>
                <w:b/>
                <w:color w:val="E5484D"/>
                <w:sz w:val="22"/>
              </w:rPr>
              <w:t>N/M (worse than est.)</w:t>
            </w:r>
          </w:p>
        </w:tc>
        <w:tc>
          <w:tcPr>
            <w:tcW w:type="dxa" w:w="1728"/>
          </w:tcPr>
          <w:p>
            <w:r>
              <w:rPr>
                <w:rFonts w:ascii="Calibri" w:hAnsi="Calibri"/>
                <w:sz w:val="22"/>
              </w:rPr>
              <w:t>Miss</w:t>
            </w:r>
          </w:p>
        </w:tc>
      </w:tr>
      <w:tr>
        <w:tc>
          <w:tcPr>
            <w:tcW w:type="dxa" w:w="1728"/>
          </w:tcPr>
          <w:p>
            <w:r>
              <w:rPr>
                <w:rFonts w:ascii="Calibri" w:hAnsi="Calibri"/>
                <w:sz w:val="22"/>
              </w:rPr>
              <w:t>Q3 2025</w:t>
            </w:r>
          </w:p>
        </w:tc>
        <w:tc>
          <w:tcPr>
            <w:tcW w:type="dxa" w:w="1728"/>
          </w:tcPr>
          <w:p>
            <w:r>
              <w:rPr>
                <w:rFonts w:ascii="Calibri" w:hAnsi="Calibri"/>
                <w:sz w:val="22"/>
              </w:rPr>
              <w:t>-$0.19</w:t>
            </w:r>
          </w:p>
        </w:tc>
        <w:tc>
          <w:tcPr>
            <w:tcW w:type="dxa" w:w="1728"/>
          </w:tcPr>
          <w:p>
            <w:r>
              <w:rPr>
                <w:rFonts w:ascii="Calibri" w:hAnsi="Calibri"/>
                <w:sz w:val="22"/>
              </w:rPr>
              <w:t>-$0.31</w:t>
            </w:r>
          </w:p>
        </w:tc>
        <w:tc>
          <w:tcPr>
            <w:tcW w:type="dxa" w:w="1728"/>
          </w:tcPr>
          <w:p>
            <w:r>
              <w:rPr>
                <w:rFonts w:ascii="Calibri" w:hAnsi="Calibri"/>
                <w:b/>
                <w:color w:val="30A46C"/>
                <w:sz w:val="22"/>
              </w:rPr>
              <w:t>N/M (better than est.)</w:t>
            </w:r>
          </w:p>
        </w:tc>
        <w:tc>
          <w:tcPr>
            <w:tcW w:type="dxa" w:w="1728"/>
          </w:tcPr>
          <w:p>
            <w:r>
              <w:rPr>
                <w:rFonts w:ascii="Calibri" w:hAnsi="Calibri"/>
                <w:sz w:val="22"/>
              </w:rPr>
              <w:t>Beat</w:t>
            </w:r>
          </w:p>
        </w:tc>
      </w:tr>
      <w:tr>
        <w:tc>
          <w:tcPr>
            <w:tcW w:type="dxa" w:w="1728"/>
          </w:tcPr>
          <w:p>
            <w:r>
              <w:rPr>
                <w:rFonts w:ascii="Calibri" w:hAnsi="Calibri"/>
                <w:sz w:val="22"/>
              </w:rPr>
              <w:t>Q4 2025</w:t>
            </w:r>
          </w:p>
        </w:tc>
        <w:tc>
          <w:tcPr>
            <w:tcW w:type="dxa" w:w="1728"/>
          </w:tcPr>
          <w:p>
            <w:r>
              <w:rPr>
                <w:rFonts w:ascii="Calibri" w:hAnsi="Calibri"/>
                <w:sz w:val="22"/>
              </w:rPr>
              <w:t>-$0.34</w:t>
            </w:r>
          </w:p>
        </w:tc>
        <w:tc>
          <w:tcPr>
            <w:tcW w:type="dxa" w:w="1728"/>
          </w:tcPr>
          <w:p>
            <w:r>
              <w:rPr>
                <w:rFonts w:ascii="Calibri" w:hAnsi="Calibri"/>
                <w:sz w:val="22"/>
              </w:rPr>
              <w:t>-$0.45</w:t>
            </w:r>
          </w:p>
        </w:tc>
        <w:tc>
          <w:tcPr>
            <w:tcW w:type="dxa" w:w="1728"/>
          </w:tcPr>
          <w:p>
            <w:r>
              <w:rPr>
                <w:rFonts w:ascii="Calibri" w:hAnsi="Calibri"/>
                <w:b/>
                <w:color w:val="30A46C"/>
                <w:sz w:val="22"/>
              </w:rPr>
              <w:t>N/M (better than est.)</w:t>
            </w:r>
          </w:p>
        </w:tc>
        <w:tc>
          <w:tcPr>
            <w:tcW w:type="dxa" w:w="1728"/>
          </w:tcPr>
          <w:p>
            <w:r>
              <w:rPr>
                <w:rFonts w:ascii="Calibri" w:hAnsi="Calibri"/>
                <w:sz w:val="22"/>
              </w:rPr>
              <w:t>Beat</w:t>
            </w:r>
          </w:p>
        </w:tc>
      </w:tr>
      <w:tr>
        <w:tc>
          <w:tcPr>
            <w:tcW w:type="dxa" w:w="1728"/>
          </w:tcPr>
          <w:p>
            <w:r>
              <w:rPr>
                <w:rFonts w:ascii="Calibri" w:hAnsi="Calibri"/>
                <w:sz w:val="22"/>
              </w:rPr>
              <w:t>Q1 2026</w:t>
            </w:r>
          </w:p>
        </w:tc>
        <w:tc>
          <w:tcPr>
            <w:tcW w:type="dxa" w:w="1728"/>
          </w:tcPr>
          <w:p>
            <w:r>
              <w:rPr>
                <w:rFonts w:ascii="Calibri" w:hAnsi="Calibri"/>
                <w:sz w:val="22"/>
              </w:rPr>
              <w:t>-$0.136</w:t>
            </w:r>
          </w:p>
        </w:tc>
        <w:tc>
          <w:tcPr>
            <w:tcW w:type="dxa" w:w="1728"/>
          </w:tcPr>
          <w:p>
            <w:r>
              <w:rPr>
                <w:rFonts w:ascii="Calibri" w:hAnsi="Calibri"/>
                <w:sz w:val="22"/>
              </w:rPr>
              <w:t>-$0.296</w:t>
            </w:r>
          </w:p>
        </w:tc>
        <w:tc>
          <w:tcPr>
            <w:tcW w:type="dxa" w:w="1728"/>
          </w:tcPr>
          <w:p>
            <w:r>
              <w:rPr>
                <w:rFonts w:ascii="Calibri" w:hAnsi="Calibri"/>
                <w:b/>
                <w:color w:val="30A46C"/>
                <w:sz w:val="22"/>
              </w:rPr>
              <w:t>N/M (better than est.)</w:t>
            </w:r>
          </w:p>
        </w:tc>
        <w:tc>
          <w:tcPr>
            <w:tcW w:type="dxa" w:w="1728"/>
          </w:tcPr>
          <w:p>
            <w:r>
              <w:rPr>
                <w:rFonts w:ascii="Calibri" w:hAnsi="Calibri"/>
                <w:sz w:val="22"/>
              </w:rPr>
              <w:t>Beat</w:t>
            </w:r>
          </w:p>
        </w:tc>
      </w:tr>
    </w:tbl>
    <w:p>
      <w:r>
        <w:rPr>
          <w:rFonts w:ascii="Calibri" w:hAnsi="Calibri"/>
          <w:i/>
          <w:color w:val="525866"/>
          <w:sz w:val="22"/>
        </w:rPr>
        <w:t xml:space="preserve">Source: Visible Alpha Consensus and Actuals Data. </w:t>
      </w:r>
      <w:r>
        <w:rPr>
          <w:rFonts w:ascii="Calibri" w:hAnsi="Calibri"/>
          <w:i/>
          <w:color w:val="525866"/>
          <w:sz w:val="22"/>
        </w:rPr>
        <w:t>Pattern: DOW has beaten Operating EBITDA consensus in 6 of the last 8 quarters, with the two misses occurring in Q2 2024 and Q2 2025 — both summer quarters. The recent streak of beats (Q3 2025 through Q1 2026) reflects management’s conservative guidance posture and self-help execution.</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b/>
          <w:color w:val="525866"/>
          <w:sz w:val="22"/>
        </w:rPr>
        <w:t xml:space="preserve">Management raised Q2 EBITDA guidance by ~10% at the June 9 Wells Fargo conference (from ~$2.0B to ~$2.2B), driven by stronger-than-expected PE pricing and II&amp;I margin upside; tone has shifted from cautious to </w:t>
      </w:r>
      <w:r>
        <w:rPr>
          <w:rFonts w:ascii="Calibri" w:hAnsi="Calibri"/>
          <w:b/>
          <w:color w:val="525866"/>
          <w:sz w:val="22"/>
        </w:rPr>
        <w:t>constructively confident</w:t>
      </w:r>
      <w:r>
        <w:rPr>
          <w:rFonts w:ascii="Calibri" w:hAnsi="Calibri"/>
          <w:color w:val="525866"/>
          <w:sz w:val="22"/>
        </w:rPr>
        <w:t>, with self-help actions explicitly framed as independent of macro/conflict resolution.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Call, Apr 23)</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Q2 2026 Revenue</w:t>
            </w:r>
          </w:p>
        </w:tc>
        <w:tc>
          <w:tcPr>
            <w:tcW w:type="dxa" w:w="1728"/>
          </w:tcPr>
          <w:p>
            <w:r>
              <w:rPr>
                <w:rFonts w:ascii="Calibri" w:hAnsi="Calibri"/>
                <w:sz w:val="22"/>
              </w:rPr>
              <w:t>~$12.0B</w:t>
            </w:r>
          </w:p>
        </w:tc>
        <w:tc>
          <w:tcPr>
            <w:tcW w:type="dxa" w:w="1728"/>
          </w:tcPr>
          <w:p>
            <w:r>
              <w:rPr>
                <w:rFonts w:ascii="Calibri" w:hAnsi="Calibri"/>
                <w:sz w:val="22"/>
              </w:rPr>
              <w:t>—</w:t>
            </w:r>
          </w:p>
        </w:tc>
        <w:tc>
          <w:tcPr>
            <w:tcW w:type="dxa" w:w="1728"/>
          </w:tcPr>
          <w:p>
            <w:r>
              <w:rPr>
                <w:rFonts w:ascii="Calibri" w:hAnsi="Calibri"/>
                <w:sz w:val="22"/>
              </w:rPr>
              <w:t>$11.98B</w:t>
            </w:r>
          </w:p>
        </w:tc>
        <w:tc>
          <w:tcPr>
            <w:tcW w:type="dxa" w:w="1728"/>
          </w:tcPr>
          <w:p>
            <w:r>
              <w:rPr>
                <w:rFonts w:ascii="Calibri" w:hAnsi="Calibri"/>
                <w:sz w:val="22"/>
              </w:rPr>
              <w:t>Unchanged; consensus in line with guide</w:t>
            </w:r>
          </w:p>
        </w:tc>
      </w:tr>
      <w:tr>
        <w:tc>
          <w:tcPr>
            <w:tcW w:type="dxa" w:w="1728"/>
          </w:tcPr>
          <w:p>
            <w:r>
              <w:rPr>
                <w:rFonts w:ascii="Calibri" w:hAnsi="Calibri"/>
                <w:sz w:val="22"/>
              </w:rPr>
              <w:t>Q2 2026 Operating EBITDA</w:t>
            </w:r>
          </w:p>
        </w:tc>
        <w:tc>
          <w:tcPr>
            <w:tcW w:type="dxa" w:w="1728"/>
          </w:tcPr>
          <w:p>
            <w:r>
              <w:rPr>
                <w:rFonts w:ascii="Calibri" w:hAnsi="Calibri"/>
                <w:sz w:val="22"/>
              </w:rPr>
              <w:t>~$2.0B</w:t>
            </w:r>
          </w:p>
        </w:tc>
        <w:tc>
          <w:tcPr>
            <w:tcW w:type="dxa" w:w="1728"/>
          </w:tcPr>
          <w:p>
            <w:r>
              <w:rPr>
                <w:rFonts w:ascii="Calibri" w:hAnsi="Calibri"/>
                <w:sz w:val="22"/>
              </w:rPr>
              <w:t>~$2.2B</w:t>
            </w:r>
          </w:p>
        </w:tc>
        <w:tc>
          <w:tcPr>
            <w:tcW w:type="dxa" w:w="1728"/>
          </w:tcPr>
          <w:p>
            <w:r>
              <w:rPr>
                <w:rFonts w:ascii="Calibri" w:hAnsi="Calibri"/>
                <w:sz w:val="22"/>
              </w:rPr>
              <w:t>$2.204B</w:t>
            </w:r>
          </w:p>
        </w:tc>
        <w:tc>
          <w:tcPr>
            <w:tcW w:type="dxa" w:w="1728"/>
          </w:tcPr>
          <w:p>
            <w:r>
              <w:rPr>
                <w:rFonts w:ascii="Calibri" w:hAnsi="Calibri"/>
                <w:sz w:val="22"/>
              </w:rPr>
              <w:t>↑ Raised at Wells Fargo Conference Jun 9, 2026; driven by stronger April PE pricing ($0.30/lb vs. $0.20/lb consultant forecast) and polyols/MDI tightness in II&amp;I; June $0.20/lb PE increase NOT embedded — additional upside</w:t>
            </w:r>
          </w:p>
        </w:tc>
      </w:tr>
      <w:tr>
        <w:tc>
          <w:tcPr>
            <w:tcW w:type="dxa" w:w="1728"/>
          </w:tcPr>
          <w:p>
            <w:r>
              <w:rPr>
                <w:rFonts w:ascii="Calibri" w:hAnsi="Calibri"/>
                <w:sz w:val="22"/>
              </w:rPr>
              <w:t>2025 Cost Program Completion</w:t>
            </w:r>
          </w:p>
        </w:tc>
        <w:tc>
          <w:tcPr>
            <w:tcW w:type="dxa" w:w="1728"/>
          </w:tcPr>
          <w:p>
            <w:r>
              <w:rPr>
                <w:rFonts w:ascii="Calibri" w:hAnsi="Calibri"/>
                <w:sz w:val="22"/>
              </w:rPr>
              <w:t>Full run rate by end of Q2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Confirmed at Jun 9 conference; $500M of $1B program to be captured in 2026, materially complete by end of Q2</w:t>
            </w:r>
          </w:p>
        </w:tc>
      </w:tr>
      <w:tr>
        <w:tc>
          <w:tcPr>
            <w:tcW w:type="dxa" w:w="1728"/>
          </w:tcPr>
          <w:p>
            <w:r>
              <w:rPr>
                <w:rFonts w:ascii="Calibri" w:hAnsi="Calibri"/>
                <w:sz w:val="22"/>
              </w:rPr>
              <w:t>Transform to Outperform (T2O) 2026 Savings</w:t>
            </w:r>
          </w:p>
        </w:tc>
        <w:tc>
          <w:tcPr>
            <w:tcW w:type="dxa" w:w="1728"/>
          </w:tcPr>
          <w:p>
            <w:r>
              <w:rPr>
                <w:rFonts w:ascii="Calibri" w:hAnsi="Calibri"/>
                <w:sz w:val="22"/>
              </w:rPr>
              <w:t>~$500M in 2026</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Confirmed; ~$400M expected in H2 2026 alone; site transformation work exceeding initial projections</w:t>
            </w:r>
          </w:p>
        </w:tc>
      </w:tr>
      <w:tr>
        <w:tc>
          <w:tcPr>
            <w:tcW w:type="dxa" w:w="1728"/>
          </w:tcPr>
          <w:p>
            <w:r>
              <w:rPr>
                <w:rFonts w:ascii="Calibri" w:hAnsi="Calibri"/>
                <w:sz w:val="22"/>
              </w:rPr>
              <w:t>FY 2026 CapEx</w:t>
            </w:r>
          </w:p>
        </w:tc>
        <w:tc>
          <w:tcPr>
            <w:tcW w:type="dxa" w:w="1728"/>
          </w:tcPr>
          <w:p>
            <w:r>
              <w:rPr>
                <w:rFonts w:ascii="Calibri" w:hAnsi="Calibri"/>
                <w:sz w:val="22"/>
              </w:rPr>
              <w:t>~$2.5B (avg. ’26–’28)</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Confirmed at Jun 9; ~$1.5B for Alberta, remainder maintenance CapEx</w:t>
            </w:r>
          </w:p>
        </w:tc>
      </w:tr>
      <w:tr>
        <w:tc>
          <w:tcPr>
            <w:tcW w:type="dxa" w:w="1728"/>
          </w:tcPr>
          <w:p>
            <w:r>
              <w:rPr>
                <w:rFonts w:ascii="Calibri" w:hAnsi="Calibri"/>
                <w:sz w:val="22"/>
              </w:rPr>
              <w:t>FCF Build Timing</w:t>
            </w:r>
          </w:p>
        </w:tc>
        <w:tc>
          <w:tcPr>
            <w:tcW w:type="dxa" w:w="1728"/>
          </w:tcPr>
          <w:p>
            <w:r>
              <w:rPr>
                <w:rFonts w:ascii="Calibri" w:hAnsi="Calibri"/>
                <w:sz w:val="22"/>
              </w:rPr>
              <w:t>H2 2026 acceleration</w:t>
            </w:r>
          </w:p>
        </w:tc>
        <w:tc>
          <w:tcPr>
            <w:tcW w:type="dxa" w:w="1728"/>
          </w:tcPr>
          <w:p>
            <w:r>
              <w:rPr>
                <w:rFonts w:ascii="Calibri" w:hAnsi="Calibri"/>
                <w:sz w:val="22"/>
              </w:rPr>
              <w:t>—</w:t>
            </w:r>
          </w:p>
        </w:tc>
        <w:tc>
          <w:tcPr>
            <w:tcW w:type="dxa" w:w="1728"/>
          </w:tcPr>
          <w:p>
            <w:r>
              <w:rPr>
                <w:rFonts w:ascii="Calibri" w:hAnsi="Calibri"/>
                <w:sz w:val="22"/>
              </w:rPr>
              <w:t>N/A</w:t>
            </w:r>
          </w:p>
        </w:tc>
        <w:tc>
          <w:tcPr>
            <w:tcW w:type="dxa" w:w="1728"/>
          </w:tcPr>
          <w:p>
            <w:r>
              <w:rPr>
                <w:rFonts w:ascii="Calibri" w:hAnsi="Calibri"/>
                <w:sz w:val="22"/>
              </w:rPr>
              <w:t>Near-term working capital headwind from rising receivables (pricing surge); FCF momentum expected to build in H2 2026; incremental cash directed to deleveraging</w:t>
            </w:r>
          </w:p>
        </w:tc>
      </w:tr>
    </w:tbl>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moved sharply higher since the Q1 2026 print — Q2 2026 EBITDA consensus rose from $2.12B (as of April 30, 2026) to $2.20B currently, tracking management’s raised guidance; FY 2026 estimates have moved lower ($6.93B → $6.42B), reflecting investor skepticism about H2 sustainability as conflict dynamics evolve.</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at Apr 30, 2026 (Post-Q1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EBITDA (Q2 2026)</w:t>
            </w:r>
          </w:p>
        </w:tc>
        <w:tc>
          <w:tcPr>
            <w:tcW w:type="dxa" w:w="1080"/>
          </w:tcPr>
          <w:p>
            <w:r>
              <w:rPr>
                <w:rFonts w:ascii="Calibri" w:hAnsi="Calibri"/>
                <w:sz w:val="22"/>
              </w:rPr>
              <w:t>$2.121B</w:t>
            </w:r>
          </w:p>
        </w:tc>
        <w:tc>
          <w:tcPr>
            <w:tcW w:type="dxa" w:w="1080"/>
          </w:tcPr>
          <w:p>
            <w:r>
              <w:rPr>
                <w:rFonts w:ascii="Calibri" w:hAnsi="Calibri"/>
                <w:sz w:val="22"/>
              </w:rPr>
              <w:t>$2.204B</w:t>
            </w:r>
          </w:p>
        </w:tc>
        <w:tc>
          <w:tcPr>
            <w:tcW w:type="dxa" w:w="1080"/>
          </w:tcPr>
          <w:p>
            <w:r>
              <w:rPr>
                <w:rFonts w:ascii="Calibri" w:hAnsi="Calibri"/>
                <w:b/>
                <w:color w:val="30A46C"/>
                <w:sz w:val="22"/>
              </w:rPr>
              <w:t>+3.9%</w:t>
            </w:r>
          </w:p>
        </w:tc>
        <w:tc>
          <w:tcPr>
            <w:tcW w:type="dxa" w:w="1080"/>
          </w:tcPr>
          <w:p>
            <w:r>
              <w:rPr>
                <w:rFonts w:ascii="Calibri" w:hAnsi="Calibri"/>
                <w:sz w:val="22"/>
              </w:rPr>
              <w:t>~$2.0B</w:t>
            </w:r>
          </w:p>
        </w:tc>
        <w:tc>
          <w:tcPr>
            <w:tcW w:type="dxa" w:w="1080"/>
          </w:tcPr>
          <w:p>
            <w:r>
              <w:rPr>
                <w:rFonts w:ascii="Calibri" w:hAnsi="Calibri"/>
                <w:sz w:val="22"/>
              </w:rPr>
              <w:t>~$2.2B (raised Jun 9)</w:t>
            </w:r>
          </w:p>
        </w:tc>
        <w:tc>
          <w:tcPr>
            <w:tcW w:type="dxa" w:w="1080"/>
          </w:tcPr>
          <w:p>
            <w:r>
              <w:rPr>
                <w:rFonts w:ascii="Calibri" w:hAnsi="Calibri"/>
                <w:sz w:val="22"/>
              </w:rPr>
              <w:t>+10%</w:t>
            </w:r>
          </w:p>
        </w:tc>
        <w:tc>
          <w:tcPr>
            <w:tcW w:type="dxa" w:w="1080"/>
          </w:tcPr>
          <w:p>
            <w:r>
              <w:rPr>
                <w:rFonts w:ascii="Calibri" w:hAnsi="Calibri"/>
                <w:sz w:val="22"/>
              </w:rPr>
              <w:t>+0.2%</w:t>
            </w:r>
          </w:p>
        </w:tc>
      </w:tr>
      <w:tr>
        <w:tc>
          <w:tcPr>
            <w:tcW w:type="dxa" w:w="1080"/>
          </w:tcPr>
          <w:p>
            <w:r>
              <w:rPr>
                <w:rFonts w:ascii="Calibri" w:hAnsi="Calibri"/>
                <w:sz w:val="22"/>
              </w:rPr>
              <w:t>Total Revenue (Q2 2026)</w:t>
            </w:r>
          </w:p>
        </w:tc>
        <w:tc>
          <w:tcPr>
            <w:tcW w:type="dxa" w:w="1080"/>
          </w:tcPr>
          <w:p>
            <w:r>
              <w:rPr>
                <w:rFonts w:ascii="Calibri" w:hAnsi="Calibri"/>
                <w:sz w:val="22"/>
              </w:rPr>
              <w:t>$12.111B</w:t>
            </w:r>
          </w:p>
        </w:tc>
        <w:tc>
          <w:tcPr>
            <w:tcW w:type="dxa" w:w="1080"/>
          </w:tcPr>
          <w:p>
            <w:r>
              <w:rPr>
                <w:rFonts w:ascii="Calibri" w:hAnsi="Calibri"/>
                <w:sz w:val="22"/>
              </w:rPr>
              <w:t>$11.980B</w:t>
            </w:r>
          </w:p>
        </w:tc>
        <w:tc>
          <w:tcPr>
            <w:tcW w:type="dxa" w:w="1080"/>
          </w:tcPr>
          <w:p>
            <w:r>
              <w:rPr>
                <w:rFonts w:ascii="Calibri" w:hAnsi="Calibri"/>
                <w:b/>
                <w:color w:val="E5484D"/>
                <w:sz w:val="22"/>
              </w:rPr>
              <w:t>-1.1%</w:t>
            </w:r>
          </w:p>
        </w:tc>
        <w:tc>
          <w:tcPr>
            <w:tcW w:type="dxa" w:w="1080"/>
          </w:tcPr>
          <w:p>
            <w:r>
              <w:rPr>
                <w:rFonts w:ascii="Calibri" w:hAnsi="Calibri"/>
                <w:sz w:val="22"/>
              </w:rPr>
              <w:t>~$12.0B</w:t>
            </w:r>
          </w:p>
        </w:tc>
        <w:tc>
          <w:tcPr>
            <w:tcW w:type="dxa" w:w="1080"/>
          </w:tcPr>
          <w:p>
            <w:r>
              <w:rPr>
                <w:rFonts w:ascii="Calibri" w:hAnsi="Calibri"/>
                <w:sz w:val="22"/>
              </w:rPr>
              <w:t>~$12.0B (unchanged)</w:t>
            </w:r>
          </w:p>
        </w:tc>
        <w:tc>
          <w:tcPr>
            <w:tcW w:type="dxa" w:w="1080"/>
          </w:tcPr>
          <w:p>
            <w:r>
              <w:rPr>
                <w:rFonts w:ascii="Calibri" w:hAnsi="Calibri"/>
                <w:sz w:val="22"/>
              </w:rPr>
              <w:t>Flat</w:t>
            </w:r>
          </w:p>
        </w:tc>
        <w:tc>
          <w:tcPr>
            <w:tcW w:type="dxa" w:w="1080"/>
          </w:tcPr>
          <w:p>
            <w:r>
              <w:rPr>
                <w:rFonts w:ascii="Calibri" w:hAnsi="Calibri"/>
                <w:sz w:val="22"/>
              </w:rPr>
              <w:t>-0.2%</w:t>
            </w:r>
          </w:p>
        </w:tc>
      </w:tr>
      <w:tr>
        <w:tc>
          <w:tcPr>
            <w:tcW w:type="dxa" w:w="1080"/>
          </w:tcPr>
          <w:p>
            <w:r>
              <w:rPr>
                <w:rFonts w:ascii="Calibri" w:hAnsi="Calibri"/>
                <w:sz w:val="22"/>
              </w:rPr>
              <w:t>EPS — Diluted Operating (Q2 2026)</w:t>
            </w:r>
          </w:p>
        </w:tc>
        <w:tc>
          <w:tcPr>
            <w:tcW w:type="dxa" w:w="1080"/>
          </w:tcPr>
          <w:p>
            <w:r>
              <w:rPr>
                <w:rFonts w:ascii="Calibri" w:hAnsi="Calibri"/>
                <w:sz w:val="22"/>
              </w:rPr>
              <w:t>$1.190</w:t>
            </w:r>
          </w:p>
        </w:tc>
        <w:tc>
          <w:tcPr>
            <w:tcW w:type="dxa" w:w="1080"/>
          </w:tcPr>
          <w:p>
            <w:r>
              <w:rPr>
                <w:rFonts w:ascii="Calibri" w:hAnsi="Calibri"/>
                <w:sz w:val="22"/>
              </w:rPr>
              <w:t>$1.278</w:t>
            </w:r>
          </w:p>
        </w:tc>
        <w:tc>
          <w:tcPr>
            <w:tcW w:type="dxa" w:w="1080"/>
          </w:tcPr>
          <w:p>
            <w:r>
              <w:rPr>
                <w:rFonts w:ascii="Calibri" w:hAnsi="Calibri"/>
                <w:b/>
                <w:color w:val="30A46C"/>
                <w:sz w:val="22"/>
              </w:rPr>
              <w:t>+7.4%</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Operating EBITDA (FY 2026)</w:t>
            </w:r>
          </w:p>
        </w:tc>
        <w:tc>
          <w:tcPr>
            <w:tcW w:type="dxa" w:w="1080"/>
          </w:tcPr>
          <w:p>
            <w:r>
              <w:rPr>
                <w:rFonts w:ascii="Calibri" w:hAnsi="Calibri"/>
                <w:sz w:val="22"/>
              </w:rPr>
              <w:t>$6.927B</w:t>
            </w:r>
          </w:p>
        </w:tc>
        <w:tc>
          <w:tcPr>
            <w:tcW w:type="dxa" w:w="1080"/>
          </w:tcPr>
          <w:p>
            <w:r>
              <w:rPr>
                <w:rFonts w:ascii="Calibri" w:hAnsi="Calibri"/>
                <w:sz w:val="22"/>
              </w:rPr>
              <w:t>$6.416B</w:t>
            </w:r>
          </w:p>
        </w:tc>
        <w:tc>
          <w:tcPr>
            <w:tcW w:type="dxa" w:w="1080"/>
          </w:tcPr>
          <w:p>
            <w:r>
              <w:rPr>
                <w:rFonts w:ascii="Calibri" w:hAnsi="Calibri"/>
                <w:b/>
                <w:color w:val="E5484D"/>
                <w:sz w:val="22"/>
              </w:rPr>
              <w:t>-7.4%</w:t>
            </w:r>
          </w:p>
        </w:tc>
        <w:tc>
          <w:tcPr>
            <w:tcW w:type="dxa" w:w="1080"/>
          </w:tcPr>
          <w:p>
            <w:r>
              <w:rPr>
                <w:rFonts w:ascii="Calibri" w:hAnsi="Calibri"/>
                <w:sz w:val="22"/>
              </w:rPr>
              <w:t>N/A (no FY guide)</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r>
        <w:tc>
          <w:tcPr>
            <w:tcW w:type="dxa" w:w="1080"/>
          </w:tcPr>
          <w:p>
            <w:r>
              <w:rPr>
                <w:rFonts w:ascii="Calibri" w:hAnsi="Calibri"/>
                <w:sz w:val="22"/>
              </w:rPr>
              <w:t>Total Revenue (FY 2026)</w:t>
            </w:r>
          </w:p>
        </w:tc>
        <w:tc>
          <w:tcPr>
            <w:tcW w:type="dxa" w:w="1080"/>
          </w:tcPr>
          <w:p>
            <w:r>
              <w:rPr>
                <w:rFonts w:ascii="Calibri" w:hAnsi="Calibri"/>
                <w:sz w:val="22"/>
              </w:rPr>
              <w:t>$45.706B</w:t>
            </w:r>
          </w:p>
        </w:tc>
        <w:tc>
          <w:tcPr>
            <w:tcW w:type="dxa" w:w="1080"/>
          </w:tcPr>
          <w:p>
            <w:r>
              <w:rPr>
                <w:rFonts w:ascii="Calibri" w:hAnsi="Calibri"/>
                <w:sz w:val="22"/>
              </w:rPr>
              <w:t>$44.340B</w:t>
            </w:r>
          </w:p>
        </w:tc>
        <w:tc>
          <w:tcPr>
            <w:tcW w:type="dxa" w:w="1080"/>
          </w:tcPr>
          <w:p>
            <w:r>
              <w:rPr>
                <w:rFonts w:ascii="Calibri" w:hAnsi="Calibri"/>
                <w:b/>
                <w:color w:val="E5484D"/>
                <w:sz w:val="22"/>
              </w:rPr>
              <w:t>-3.0%</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c>
          <w:tcPr>
            <w:tcW w:type="dxa" w:w="1080"/>
          </w:tcPr>
          <w:p>
            <w:r>
              <w:rPr>
                <w:rFonts w:ascii="Calibri" w:hAnsi="Calibri"/>
                <w:sz w:val="22"/>
              </w:rPr>
              <w:t>N/A</w:t>
            </w:r>
          </w:p>
        </w:tc>
      </w:tr>
    </w:tbl>
    <w:p>
      <w:r>
        <w:rPr>
          <w:rFonts w:ascii="Calibri" w:hAnsi="Calibri"/>
          <w:i/>
          <w:color w:val="525866"/>
          <w:sz w:val="22"/>
        </w:rPr>
        <w:t xml:space="preserve">Source: Visible Alpha Consensus and Actuals Data. </w:t>
      </w:r>
      <w:r>
        <w:rPr>
          <w:rFonts w:ascii="Calibri" w:hAnsi="Calibri"/>
          <w:i/>
          <w:color w:val="525866"/>
          <w:sz w:val="22"/>
        </w:rPr>
        <w:t>The divergence between Q2 estimates (rising, tracking guidance) and FY estimates (falling) reflects the market’s view that conflict-driven pricing is a temporary tailwind — H2 2026 estimates embed meaningful mean-reversion in PE spreads. This creates a setup where Q2 beats are likely but the stock’s reaction will hinge on management’s H2 commentary and whether T2O savings can offset pricing normalization.</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b/>
          <w:color w:val="525866"/>
          <w:sz w:val="22"/>
        </w:rPr>
        <w:t xml:space="preserve">DOW’s post-Q1 performance has been driven almost entirely by </w:t>
      </w:r>
      <w:r>
        <w:rPr>
          <w:rFonts w:ascii="Calibri" w:hAnsi="Calibri"/>
          <w:b/>
          <w:color w:val="525866"/>
          <w:sz w:val="22"/>
        </w:rPr>
        <w:t>multiple contraction</w:t>
      </w:r>
      <w:r>
        <w:rPr>
          <w:rFonts w:ascii="Calibri" w:hAnsi="Calibri"/>
          <w:color w:val="525866"/>
          <w:sz w:val="22"/>
        </w:rPr>
        <w:t xml:space="preserve"> — the stock rallied sharply into Q1 earnings on conflict-driven PE pricing optimism, then sold off -29% from its May peak as investors questioned sustainability; the 3-month EV/EBITDA multiple compressed from 7.9x to 6.1x, while the S&amp;P 500 and XLB (Materials ETF) held up materially better.</w:t>
      </w:r>
    </w:p>
    <w:p>
      <w:r>
        <w:rPr>
          <w:rFonts w:ascii="Calibri" w:hAnsi="Calibri"/>
          <w:color w:val="525866"/>
          <w:sz w:val="22"/>
        </w:rPr>
        <w:t>Since the Q1 2026 earnings date (April 23, 2026), DOW has declined from $38.53 to $30.47 as of July 21, 2026 (approximately -20.9%), significantly underperforming both the XLB Materials ETF (roughly -3.3% over the same period) and the S&amp;P 500 (+5.6%). The stock peaked at ~$40.80 in early May before selling off sharply as ceasefire speculation and macro concerns weighed on the conflict-driven PE pricing narrative. The 3-month EV/EBITDA multiple compressed from 7.92x to 6.09x (current), a -23% contraction, while the 6-month price performance of +17.6% was entirely offset by a -36% multiple contraction — meaning the stock’s gains were entirely earnings-driven (EBITDA estimates rising) while the market simultaneously de-rated the multiple. The XLB ETF is the appropriate sector benchmark for DOW as a large-cap diversified materials company.</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DOW vs. XLB (Materials ETF) vs. S&amp;P 500 — Indexed to 100 at Q1 2026 Earnings Date (April 23, 2026). Source: Yahoo Finance / Stock Price Data.</w:t>
      </w:r>
    </w:p>
    <w:p>
      <w:pPr>
        <w:pStyle w:val="Heading3"/>
      </w:pPr>
      <w:r>
        <w:rPr>
          <w:rFonts w:ascii="Calibri" w:hAnsi="Calibri"/>
          <w:b/>
          <w:color w:val="3B4259"/>
          <w:sz w:val="24"/>
        </w:rPr>
        <w:t>Stock Performance Decomposition (NTM EV/EBITDA)</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Horizon</w:t>
            </w:r>
          </w:p>
        </w:tc>
        <w:tc>
          <w:tcPr>
            <w:tcW w:type="dxa" w:w="1440"/>
            <w:shd w:val="clear" w:color="auto" w:fill="3B4259"/>
          </w:tcPr>
          <w:p>
            <w:r>
              <w:rPr>
                <w:rFonts w:ascii="Calibri" w:hAnsi="Calibri"/>
                <w:b/>
                <w:color w:val="FFFFFF"/>
                <w:sz w:val="22"/>
              </w:rPr>
              <w:t>Price Change</w:t>
            </w:r>
          </w:p>
        </w:tc>
        <w:tc>
          <w:tcPr>
            <w:tcW w:type="dxa" w:w="1440"/>
            <w:shd w:val="clear" w:color="auto" w:fill="3B4259"/>
          </w:tcPr>
          <w:p>
            <w:r>
              <w:rPr>
                <w:rFonts w:ascii="Calibri" w:hAnsi="Calibri"/>
                <w:b/>
                <w:color w:val="FFFFFF"/>
                <w:sz w:val="22"/>
              </w:rPr>
              <w:t>NTM EV/EBITDA (Start)</w:t>
            </w:r>
          </w:p>
        </w:tc>
        <w:tc>
          <w:tcPr>
            <w:tcW w:type="dxa" w:w="1440"/>
            <w:shd w:val="clear" w:color="auto" w:fill="3B4259"/>
          </w:tcPr>
          <w:p>
            <w:r>
              <w:rPr>
                <w:rFonts w:ascii="Calibri" w:hAnsi="Calibri"/>
                <w:b/>
                <w:color w:val="FFFFFF"/>
                <w:sz w:val="22"/>
              </w:rPr>
              <w:t>NTM EV/EBITDA (Current)</w:t>
            </w:r>
          </w:p>
        </w:tc>
        <w:tc>
          <w:tcPr>
            <w:tcW w:type="dxa" w:w="1440"/>
            <w:shd w:val="clear" w:color="auto" w:fill="3B4259"/>
          </w:tcPr>
          <w:p>
            <w:r>
              <w:rPr>
                <w:rFonts w:ascii="Calibri" w:hAnsi="Calibri"/>
                <w:b/>
                <w:color w:val="FFFFFF"/>
                <w:sz w:val="22"/>
              </w:rPr>
              <w:t>Multiple Change</w:t>
            </w:r>
          </w:p>
        </w:tc>
        <w:tc>
          <w:tcPr>
            <w:tcW w:type="dxa" w:w="1440"/>
            <w:shd w:val="clear" w:color="auto" w:fill="3B4259"/>
          </w:tcPr>
          <w:p>
            <w:r>
              <w:rPr>
                <w:rFonts w:ascii="Calibri" w:hAnsi="Calibri"/>
                <w:b/>
                <w:color w:val="FFFFFF"/>
                <w:sz w:val="22"/>
              </w:rPr>
              <w:t>Interpretation</w:t>
            </w:r>
          </w:p>
        </w:tc>
      </w:tr>
      <w:tr>
        <w:tc>
          <w:tcPr>
            <w:tcW w:type="dxa" w:w="1440"/>
          </w:tcPr>
          <w:p>
            <w:r>
              <w:rPr>
                <w:rFonts w:ascii="Calibri" w:hAnsi="Calibri"/>
                <w:sz w:val="22"/>
              </w:rPr>
              <w:t>1 Month</w:t>
            </w:r>
          </w:p>
        </w:tc>
        <w:tc>
          <w:tcPr>
            <w:tcW w:type="dxa" w:w="1440"/>
          </w:tcPr>
          <w:p>
            <w:r>
              <w:rPr>
                <w:rFonts w:ascii="Calibri" w:hAnsi="Calibri"/>
                <w:sz w:val="22"/>
              </w:rPr>
              <w:t>+1.5%</w:t>
            </w:r>
          </w:p>
        </w:tc>
        <w:tc>
          <w:tcPr>
            <w:tcW w:type="dxa" w:w="1440"/>
          </w:tcPr>
          <w:p>
            <w:r>
              <w:rPr>
                <w:rFonts w:ascii="Calibri" w:hAnsi="Calibri"/>
                <w:sz w:val="22"/>
              </w:rPr>
              <w:t>5.65x</w:t>
            </w:r>
          </w:p>
        </w:tc>
        <w:tc>
          <w:tcPr>
            <w:tcW w:type="dxa" w:w="1440"/>
          </w:tcPr>
          <w:p>
            <w:r>
              <w:rPr>
                <w:rFonts w:ascii="Calibri" w:hAnsi="Calibri"/>
                <w:sz w:val="22"/>
              </w:rPr>
              <w:t>6.09x</w:t>
            </w:r>
          </w:p>
        </w:tc>
        <w:tc>
          <w:tcPr>
            <w:tcW w:type="dxa" w:w="1440"/>
          </w:tcPr>
          <w:p>
            <w:r>
              <w:rPr>
                <w:rFonts w:ascii="Calibri" w:hAnsi="Calibri"/>
                <w:b/>
                <w:color w:val="30A46C"/>
                <w:sz w:val="22"/>
              </w:rPr>
              <w:t>+7.8%</w:t>
            </w:r>
          </w:p>
        </w:tc>
        <w:tc>
          <w:tcPr>
            <w:tcW w:type="dxa" w:w="1440"/>
          </w:tcPr>
          <w:p>
            <w:r>
              <w:rPr>
                <w:rFonts w:ascii="Calibri" w:hAnsi="Calibri"/>
                <w:sz w:val="22"/>
              </w:rPr>
              <w:t>Multiple re-rating driving modest recovery; earnings estimates stable</w:t>
            </w:r>
          </w:p>
        </w:tc>
      </w:tr>
      <w:tr>
        <w:tc>
          <w:tcPr>
            <w:tcW w:type="dxa" w:w="1440"/>
          </w:tcPr>
          <w:p>
            <w:r>
              <w:rPr>
                <w:rFonts w:ascii="Calibri" w:hAnsi="Calibri"/>
                <w:sz w:val="22"/>
              </w:rPr>
              <w:t>3 Months</w:t>
            </w:r>
          </w:p>
        </w:tc>
        <w:tc>
          <w:tcPr>
            <w:tcW w:type="dxa" w:w="1440"/>
          </w:tcPr>
          <w:p>
            <w:r>
              <w:rPr>
                <w:rFonts w:ascii="Calibri" w:hAnsi="Calibri"/>
                <w:sz w:val="22"/>
              </w:rPr>
              <w:t>-18.4%</w:t>
            </w:r>
          </w:p>
        </w:tc>
        <w:tc>
          <w:tcPr>
            <w:tcW w:type="dxa" w:w="1440"/>
          </w:tcPr>
          <w:p>
            <w:r>
              <w:rPr>
                <w:rFonts w:ascii="Calibri" w:hAnsi="Calibri"/>
                <w:sz w:val="22"/>
              </w:rPr>
              <w:t>7.92x</w:t>
            </w:r>
          </w:p>
        </w:tc>
        <w:tc>
          <w:tcPr>
            <w:tcW w:type="dxa" w:w="1440"/>
          </w:tcPr>
          <w:p>
            <w:r>
              <w:rPr>
                <w:rFonts w:ascii="Calibri" w:hAnsi="Calibri"/>
                <w:sz w:val="22"/>
              </w:rPr>
              <w:t>6.09x</w:t>
            </w:r>
          </w:p>
        </w:tc>
        <w:tc>
          <w:tcPr>
            <w:tcW w:type="dxa" w:w="1440"/>
          </w:tcPr>
          <w:p>
            <w:r>
              <w:rPr>
                <w:rFonts w:ascii="Calibri" w:hAnsi="Calibri"/>
                <w:b/>
                <w:color w:val="E5484D"/>
                <w:sz w:val="22"/>
              </w:rPr>
              <w:t>-23.1%</w:t>
            </w:r>
          </w:p>
        </w:tc>
        <w:tc>
          <w:tcPr>
            <w:tcW w:type="dxa" w:w="1440"/>
          </w:tcPr>
          <w:p>
            <w:r>
              <w:rPr>
                <w:rFonts w:ascii="Calibri" w:hAnsi="Calibri"/>
                <w:sz w:val="22"/>
              </w:rPr>
              <w:t>Significant de-rating; market pricing out conflict premium as ceasefire speculation rose</w:t>
            </w:r>
          </w:p>
        </w:tc>
      </w:tr>
      <w:tr>
        <w:tc>
          <w:tcPr>
            <w:tcW w:type="dxa" w:w="1440"/>
          </w:tcPr>
          <w:p>
            <w:r>
              <w:rPr>
                <w:rFonts w:ascii="Calibri" w:hAnsi="Calibri"/>
                <w:sz w:val="22"/>
              </w:rPr>
              <w:t>6 Months</w:t>
            </w:r>
          </w:p>
        </w:tc>
        <w:tc>
          <w:tcPr>
            <w:tcW w:type="dxa" w:w="1440"/>
          </w:tcPr>
          <w:p>
            <w:r>
              <w:rPr>
                <w:rFonts w:ascii="Calibri" w:hAnsi="Calibri"/>
                <w:sz w:val="22"/>
              </w:rPr>
              <w:t>+17.6%</w:t>
            </w:r>
          </w:p>
        </w:tc>
        <w:tc>
          <w:tcPr>
            <w:tcW w:type="dxa" w:w="1440"/>
          </w:tcPr>
          <w:p>
            <w:r>
              <w:rPr>
                <w:rFonts w:ascii="Calibri" w:hAnsi="Calibri"/>
                <w:sz w:val="22"/>
              </w:rPr>
              <w:t>9.51x</w:t>
            </w:r>
          </w:p>
        </w:tc>
        <w:tc>
          <w:tcPr>
            <w:tcW w:type="dxa" w:w="1440"/>
          </w:tcPr>
          <w:p>
            <w:r>
              <w:rPr>
                <w:rFonts w:ascii="Calibri" w:hAnsi="Calibri"/>
                <w:sz w:val="22"/>
              </w:rPr>
              <w:t>6.09x</w:t>
            </w:r>
          </w:p>
        </w:tc>
        <w:tc>
          <w:tcPr>
            <w:tcW w:type="dxa" w:w="1440"/>
          </w:tcPr>
          <w:p>
            <w:r>
              <w:rPr>
                <w:rFonts w:ascii="Calibri" w:hAnsi="Calibri"/>
                <w:b/>
                <w:color w:val="E5484D"/>
                <w:sz w:val="22"/>
              </w:rPr>
              <w:t>-36.0%</w:t>
            </w:r>
          </w:p>
        </w:tc>
        <w:tc>
          <w:tcPr>
            <w:tcW w:type="dxa" w:w="1440"/>
          </w:tcPr>
          <w:p>
            <w:r>
              <w:rPr>
                <w:rFonts w:ascii="Calibri" w:hAnsi="Calibri"/>
                <w:sz w:val="22"/>
              </w:rPr>
              <w:t>Price gains entirely earnings-driven (EBITDA estimates surged); multiple compressed sharply as market questioned sustainability</w:t>
            </w:r>
          </w:p>
        </w:tc>
      </w:tr>
      <w:tr>
        <w:tc>
          <w:tcPr>
            <w:tcW w:type="dxa" w:w="1440"/>
          </w:tcPr>
          <w:p>
            <w:r>
              <w:rPr>
                <w:rFonts w:ascii="Calibri" w:hAnsi="Calibri"/>
                <w:sz w:val="22"/>
              </w:rPr>
              <w:t>12 Months</w:t>
            </w:r>
          </w:p>
        </w:tc>
        <w:tc>
          <w:tcPr>
            <w:tcW w:type="dxa" w:w="1440"/>
          </w:tcPr>
          <w:p>
            <w:r>
              <w:rPr>
                <w:rFonts w:ascii="Calibri" w:hAnsi="Calibri"/>
                <w:sz w:val="22"/>
              </w:rPr>
              <w:t>+10.1%</w:t>
            </w:r>
          </w:p>
        </w:tc>
        <w:tc>
          <w:tcPr>
            <w:tcW w:type="dxa" w:w="1440"/>
          </w:tcPr>
          <w:p>
            <w:r>
              <w:rPr>
                <w:rFonts w:ascii="Calibri" w:hAnsi="Calibri"/>
                <w:sz w:val="22"/>
              </w:rPr>
              <w:t>8.62x</w:t>
            </w:r>
          </w:p>
        </w:tc>
        <w:tc>
          <w:tcPr>
            <w:tcW w:type="dxa" w:w="1440"/>
          </w:tcPr>
          <w:p>
            <w:r>
              <w:rPr>
                <w:rFonts w:ascii="Calibri" w:hAnsi="Calibri"/>
                <w:sz w:val="22"/>
              </w:rPr>
              <w:t>6.09x</w:t>
            </w:r>
          </w:p>
        </w:tc>
        <w:tc>
          <w:tcPr>
            <w:tcW w:type="dxa" w:w="1440"/>
          </w:tcPr>
          <w:p>
            <w:r>
              <w:rPr>
                <w:rFonts w:ascii="Calibri" w:hAnsi="Calibri"/>
                <w:b/>
                <w:color w:val="E5484D"/>
                <w:sz w:val="22"/>
              </w:rPr>
              <w:t>-29.4%</w:t>
            </w:r>
          </w:p>
        </w:tc>
        <w:tc>
          <w:tcPr>
            <w:tcW w:type="dxa" w:w="1440"/>
          </w:tcPr>
          <w:p>
            <w:r>
              <w:rPr>
                <w:rFonts w:ascii="Calibri" w:hAnsi="Calibri"/>
                <w:sz w:val="22"/>
              </w:rPr>
              <w:t>Structural de-rating over the past year; market not crediting T2O or Alberta optionality at current multiple</w:t>
            </w:r>
          </w:p>
        </w:tc>
      </w:tr>
    </w:tbl>
    <w:p>
      <w:r>
        <w:rPr>
          <w:rFonts w:ascii="Calibri" w:hAnsi="Calibri"/>
          <w:i/>
          <w:color w:val="525866"/>
          <w:sz w:val="22"/>
        </w:rPr>
        <w:t>Source: Implied Stock Performance Decomposition Tool. Current NTM EV/EBITDA of 6.09x is well below the 3-month (7.92x) and 6-month (9.51x) starting multiples, suggesting the market has aggressively priced out the conflict premium. At 6.09x, DOW trades near trough-cycle valuation, which could limit downside on a miss but also caps upside unless management provides credible H2 guidance.</w:t>
      </w:r>
    </w:p>
    <w:p>
      <w:r>
        <w:br w:type="page"/>
      </w:r>
    </w:p>
    <w:p>
      <w:pPr>
        <w:pStyle w:val="Heading2"/>
      </w:pPr>
      <w:r>
        <w:rPr>
          <w:rFonts w:ascii="Calibri" w:hAnsi="Calibri"/>
          <w:b/>
          <w:color w:val="3B4259"/>
          <w:sz w:val="28"/>
        </w:rPr>
        <w:t>6. Material News &amp; Developments</w:t>
      </w:r>
    </w:p>
    <w:p>
      <w:r>
        <w:rPr>
          <w:rFonts w:ascii="Calibri" w:hAnsi="Calibri"/>
          <w:b/>
          <w:color w:val="525866"/>
          <w:sz w:val="22"/>
        </w:rPr>
        <w:t xml:space="preserve">Key Takeaway: </w:t>
      </w:r>
      <w:r>
        <w:rPr>
          <w:rFonts w:ascii="Calibri" w:hAnsi="Calibri"/>
          <w:color w:val="525866"/>
          <w:sz w:val="22"/>
        </w:rPr>
        <w:t>The most important development since Q1 earnings is the June 9 guidance raise to $2.2B EBITDA (above consensus) with the June PE price increase held in reserve as additional upside; the CEO transition to Karen Carter (effective July 1) is a known event with no strategic change, but investors will scrutinize her first earnings call for tone and capital allocation signals.</w:t>
      </w:r>
    </w:p>
    <w:p>
      <w:pPr>
        <w:pStyle w:val="ListBullet"/>
        <w:ind w:left="360" w:hanging="360"/>
      </w:pPr>
      <w:r>
        <w:rPr>
          <w:rFonts w:ascii="Calibri" w:hAnsi="Calibri"/>
          <w:b/>
          <w:color w:val="525866"/>
          <w:sz w:val="22"/>
        </w:rPr>
        <w:t xml:space="preserve">June 9, 2026 — Wells Fargo Industrials &amp; Materials Conference: </w:t>
      </w:r>
      <w:r>
        <w:rPr>
          <w:rFonts w:ascii="Calibri" w:hAnsi="Calibri"/>
          <w:color w:val="525866"/>
          <w:sz w:val="22"/>
        </w:rPr>
        <w:t xml:space="preserve">Management raised Q2 2026 EBITDA guidance to ~$2.2B, approximately 10% above prior guidance and above consensus at the time. Cited stronger April PE pricing ($0.30/lb vs. $0.20/lb consultant forecast) and polyols/MDI tightness in II&amp;I. Announced $0.20/lb June PE price increase supported by tight supply and healthy order books, but explicitly excluded from guidance — representing additional upside. Confirmed 2025 cost program will reach full run rate and be materially complete by end of Q2 2026. </w:t>
      </w:r>
    </w:p>
    <w:p>
      <w:pPr>
        <w:pStyle w:val="ListBullet"/>
        <w:ind w:left="360" w:hanging="360"/>
      </w:pPr>
      <w:r>
        <w:rPr>
          <w:rFonts w:ascii="Calibri" w:hAnsi="Calibri"/>
          <w:b/>
          <w:color w:val="525866"/>
          <w:sz w:val="22"/>
        </w:rPr>
        <w:t xml:space="preserve">July 1, 2026 — CEO Succession Effective: </w:t>
      </w:r>
      <w:r>
        <w:rPr>
          <w:rFonts w:ascii="Calibri" w:hAnsi="Calibri"/>
          <w:color w:val="525866"/>
          <w:sz w:val="22"/>
        </w:rPr>
        <w:t xml:space="preserve">Karen Carter assumed the CEO role, with Jim Fitterling transitioning to Executive Chair. Described as a deliberate multi-year succession process with no change in strategic direction. Q2 2026 will be Carter’s first earnings call as CEO — investors will focus on her tone on capital allocation, T2O execution, and Sadara restructuring update. </w:t>
      </w:r>
    </w:p>
    <w:p>
      <w:pPr>
        <w:pStyle w:val="ListBullet"/>
        <w:ind w:left="360" w:hanging="360"/>
      </w:pPr>
      <w:r>
        <w:rPr>
          <w:rFonts w:ascii="Calibri" w:hAnsi="Calibri"/>
          <w:b/>
          <w:color w:val="525866"/>
          <w:sz w:val="22"/>
        </w:rPr>
        <w:t xml:space="preserve">July 10, 2026 — DOW 8-K (Share Registration): </w:t>
      </w:r>
      <w:r>
        <w:rPr>
          <w:rFonts w:ascii="Calibri" w:hAnsi="Calibri"/>
          <w:color w:val="525866"/>
          <w:sz w:val="22"/>
        </w:rPr>
        <w:t xml:space="preserve">Dow registered 5.41 million shares for stock incentive plan awards. Routine compensation-related filing; no material financial impact. </w:t>
      </w:r>
    </w:p>
    <w:p>
      <w:pPr>
        <w:pStyle w:val="ListBullet"/>
        <w:ind w:left="360" w:hanging="360"/>
      </w:pPr>
      <w:r>
        <w:rPr>
          <w:rFonts w:ascii="Calibri" w:hAnsi="Calibri"/>
          <w:b/>
          <w:color w:val="525866"/>
          <w:sz w:val="22"/>
        </w:rPr>
        <w:t xml:space="preserve">July 14, 2026 — Trump EPA Exemption for Chemical Manufacturers: </w:t>
      </w:r>
      <w:r>
        <w:rPr>
          <w:rFonts w:ascii="Calibri" w:hAnsi="Calibri"/>
          <w:color w:val="525866"/>
          <w:sz w:val="22"/>
        </w:rPr>
        <w:t xml:space="preserve">Trump signed a proclamation granting certain chemical manufacturers a two-year exemption from Biden-era EPA emissions-control rules, citing national security and lack of commercially available compliance technology. Potentially beneficial for Dow’s U.S. manufacturing operations by reducing near-term compliance costs. </w:t>
      </w:r>
    </w:p>
    <w:p>
      <w:pPr>
        <w:pStyle w:val="ListBullet"/>
        <w:ind w:left="360" w:hanging="360"/>
      </w:pPr>
      <w:r>
        <w:rPr>
          <w:rFonts w:ascii="Calibri" w:hAnsi="Calibri"/>
          <w:b/>
          <w:color w:val="525866"/>
          <w:sz w:val="22"/>
        </w:rPr>
        <w:t xml:space="preserve">Ongoing — Strait of Hormuz Conflict: </w:t>
      </w:r>
      <w:r>
        <w:rPr>
          <w:rFonts w:ascii="Calibri" w:hAnsi="Calibri"/>
          <w:color w:val="525866"/>
          <w:sz w:val="22"/>
        </w:rPr>
        <w:t xml:space="preserve">The conflict that began in late February 2026 continues to constrain global polyethylene supply. Management estimated ~half of global ethylene/PE supply offline or constrained as of Q1. Even if resolved, management modeled 275+ days for supply chain normalization, with petrochemicals deprioritized behind energy and food in any reopening sequence. Global oil inventories declining toward operational floor levels. </w:t>
      </w:r>
    </w:p>
    <w:p>
      <w:pPr>
        <w:pStyle w:val="ListBullet"/>
        <w:ind w:left="360" w:hanging="360"/>
      </w:pPr>
      <w:r>
        <w:rPr>
          <w:rFonts w:ascii="Calibri" w:hAnsi="Calibri"/>
          <w:b/>
          <w:color w:val="525866"/>
          <w:sz w:val="22"/>
        </w:rPr>
        <w:t xml:space="preserve">Ongoing — Olin/Huntsman Merger (June 16, 2026): </w:t>
      </w:r>
      <w:r>
        <w:rPr>
          <w:rFonts w:ascii="Calibri" w:hAnsi="Calibri"/>
          <w:color w:val="525866"/>
          <w:sz w:val="22"/>
        </w:rPr>
        <w:t xml:space="preserve">Olin announced an all-stock merger with Huntsman in a $2.43B deal. Read-through for Dow: further consolidation in the chemical sector reduces competitive capacity and could support pricing in overlapping markets (MDI, polyols). Huntsman’s MDI/polyols business competes with Dow’s II&amp;I segment. </w:t>
      </w:r>
    </w:p>
    <w:p>
      <w:pPr>
        <w:pStyle w:val="ListBullet"/>
        <w:ind w:left="360" w:hanging="360"/>
      </w:pPr>
      <w:r>
        <w:rPr>
          <w:rFonts w:ascii="Calibri" w:hAnsi="Calibri"/>
          <w:b/>
          <w:color w:val="525866"/>
          <w:sz w:val="22"/>
        </w:rPr>
        <w:t xml:space="preserve">Ongoing — Covestro FY 2026 Guidance Raise (July 9, 2026): </w:t>
      </w:r>
      <w:r>
        <w:rPr>
          <w:rFonts w:ascii="Calibri" w:hAnsi="Calibri"/>
          <w:color w:val="525866"/>
          <w:sz w:val="22"/>
        </w:rPr>
        <w:t xml:space="preserve">Covestro raised its full-year EBITDA guidance significantly above prior forecast, citing higher selling prices. Direct read-through for Dow’s II&amp;I segment (polyols, MDI) — confirms the pricing environment in polyurethanes remains favorable heading into Q2 reporting. </w:t>
      </w:r>
    </w:p>
    <w:p>
      <w:pPr>
        <w:pStyle w:val="ListBullet"/>
        <w:ind w:left="360" w:hanging="360"/>
      </w:pPr>
      <w:r>
        <w:rPr>
          <w:rFonts w:ascii="Calibri" w:hAnsi="Calibri"/>
          <w:b/>
          <w:color w:val="525866"/>
          <w:sz w:val="22"/>
        </w:rPr>
        <w:t xml:space="preserve">Ongoing — Japan Naphtha Shortage (July 11, 2026): </w:t>
      </w:r>
      <w:r>
        <w:rPr>
          <w:rFonts w:ascii="Calibri" w:hAnsi="Calibri"/>
          <w:color w:val="525866"/>
          <w:sz w:val="22"/>
        </w:rPr>
        <w:t xml:space="preserve">Strait of Hormuz disruptions have caused naphtha shortages in Japan, forcing retailers to seek alternative materials. Confirms the structural supply disruption thesis and supports Dow’s advantaged ethane/propane feedstock position vs. naphtha-dependent competitors. </w:t>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purchases or sales were identified for DOW in the period since the Q1 2026 earnings date (April 23, 2026) through July 22, 2026. The July 10 share registration (5.41M shares for stock incentive plan awards) is a routine compensation filing, not a discretionary transaction. The absence of insider buying during the stock’s significant pullback from ~$40 to ~$30 is notable but not necessarily a negative signal given the CEO transition and typical quiet period dynamics.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transactions identified</w:t>
            </w:r>
          </w:p>
        </w:tc>
        <w:tc>
          <w:tcPr>
            <w:tcW w:type="dxa" w:w="1440"/>
          </w:tcPr>
          <w:p>
            <w:r>
              <w:rPr>
                <w:rFonts w:ascii="Calibri" w:hAnsi="Calibri"/>
                <w:sz w:val="22"/>
              </w:rPr>
              <w:t>N/A</w:t>
            </w:r>
          </w:p>
        </w:tc>
        <w:tc>
          <w:tcPr>
            <w:tcW w:type="dxa" w:w="1440"/>
          </w:tcPr>
          <w:p>
            <w:r>
              <w:rPr>
                <w:rFonts w:ascii="Calibri" w:hAnsi="Calibri"/>
                <w:sz w:val="22"/>
              </w:rPr>
              <w:t>Apr 23 – Jul 22, 2026</w:t>
            </w:r>
          </w:p>
        </w:tc>
        <w:tc>
          <w:tcPr>
            <w:tcW w:type="dxa" w:w="1440"/>
          </w:tcPr>
          <w:p>
            <w:r>
              <w:rPr>
                <w:rFonts w:ascii="Calibri" w:hAnsi="Calibri"/>
                <w:sz w:val="22"/>
              </w:rPr>
              <w:t>July 10 share registration (5.41M shares for stock incentive plan) is routine compensation; not a discretionary buy/sell</w:t>
            </w:r>
          </w:p>
        </w:tc>
      </w:tr>
    </w:tbl>
    <w:p>
      <w:r>
        <w:br w:type="page"/>
      </w:r>
    </w:p>
    <w:p>
      <w:pPr>
        <w:pStyle w:val="Heading2"/>
      </w:pPr>
      <w:r>
        <w:rPr>
          <w:rFonts w:ascii="Calibri" w:hAnsi="Calibri"/>
          <w:b/>
          <w:color w:val="3B4259"/>
          <w:sz w:val="28"/>
        </w:rPr>
        <w:t>8. Peer Commentary: Current-Quarter Read-Through (Q2 2026 Only)</w:t>
      </w:r>
    </w:p>
    <w:p>
      <w:r>
        <w:rPr>
          <w:rFonts w:ascii="Calibri" w:hAnsi="Calibri"/>
          <w:b/>
          <w:color w:val="525866"/>
          <w:sz w:val="22"/>
        </w:rPr>
        <w:t xml:space="preserve">Key Takeaway: </w:t>
      </w:r>
      <w:r>
        <w:rPr>
          <w:rFonts w:ascii="Calibri" w:hAnsi="Calibri"/>
          <w:color w:val="525866"/>
          <w:sz w:val="22"/>
        </w:rPr>
        <w:t>Eastman Chemical’s June 3 Deutsche Bank conference commentary is the most relevant and actionable peer read-through — confirming no demand destruction from conflict-driven price increases, North American asset advantages, and supply chain tightness expected to persist 6–9+ months. Covestro’s July 9 guidance raise directly validates Dow’s II&amp;I segment outlook. The Olin/Huntsman merger signals further sector consolidation supportive of pricing.</w:t>
      </w:r>
    </w:p>
    <w:p>
      <w:r>
        <w:rPr>
          <w:rFonts w:ascii="Calibri" w:hAnsi="Calibri"/>
          <w:b/>
          <w:color w:val="525866"/>
          <w:sz w:val="22"/>
        </w:rPr>
        <w:t xml:space="preserve">Eligibility Note: </w:t>
      </w:r>
      <w:r>
        <w:rPr>
          <w:rFonts w:ascii="Calibri" w:hAnsi="Calibri"/>
          <w:i/>
          <w:color w:val="525866"/>
          <w:sz w:val="22"/>
        </w:rPr>
        <w:t>Only commentary made after April 23, 2026 (DOW’s Q1 2026 earnings date) that addresses Q2 2026 / current-quarter conditions is included below. Prior-quarter results commentary, generic M&amp;A risk disclosures (Olin/Huntsman 8-K forward-looking statements), and LYB’s receivables facility amendment are excluded as they contain no actionable current-quarter read-through.</w:t>
      </w:r>
    </w:p>
    <w:p>
      <w:pPr>
        <w:pStyle w:val="Heading3"/>
      </w:pPr>
      <w:r>
        <w:rPr>
          <w:rFonts w:ascii="Calibri" w:hAnsi="Calibri"/>
          <w:b/>
          <w:color w:val="3B4259"/>
          <w:sz w:val="24"/>
        </w:rPr>
        <w:t>Eastman Chemical (EMN) — Deutsche Bank Basic Materials Conference, June 3, 2026</w:t>
      </w:r>
    </w:p>
    <w:p>
      <w:r>
        <w:rPr>
          <w:rFonts w:ascii="Calibri" w:hAnsi="Calibri"/>
          <w:b/>
          <w:color w:val="525866"/>
          <w:sz w:val="22"/>
        </w:rPr>
        <w:t xml:space="preserve">Relevance: HIGH. </w:t>
      </w:r>
      <w:r>
        <w:rPr>
          <w:rFonts w:ascii="Calibri" w:hAnsi="Calibri"/>
          <w:color w:val="525866"/>
          <w:sz w:val="22"/>
        </w:rPr>
        <w:t>Eastman CEO Mark Costa provided detailed Q2 2026 commentary across demand, pricing, margins, and supply chain disruptions — directly applicable to Dow’s P&amp;SP and II&amp;I segments. Costa explicitly referenced conversations with Dow management, stating: “Certainly, people who are far more qualified like the Dows and Lyondell can give you a better detailed explanation of it. But I’ve had conversations with those guys and they’re of this view.”</w:t>
      </w:r>
    </w:p>
    <w:p>
      <w:pPr>
        <w:pStyle w:val="ListBullet"/>
        <w:ind w:left="360" w:hanging="360"/>
      </w:pPr>
      <w:r>
        <w:rPr>
          <w:rFonts w:ascii="Calibri" w:hAnsi="Calibri"/>
          <w:b/>
          <w:color w:val="525866"/>
          <w:sz w:val="22"/>
        </w:rPr>
        <w:t xml:space="preserve">Demand holding up in Q2: </w:t>
      </w:r>
      <w:r>
        <w:rPr>
          <w:rFonts w:ascii="Calibri" w:hAnsi="Calibri"/>
          <w:i/>
          <w:color w:val="525866"/>
          <w:sz w:val="22"/>
        </w:rPr>
        <w:t xml:space="preserve">“Right now, we’re seeing demand hold up well in this quarter across the portfolio” and “we’re not seeing any signs yet of demand destruction associated with what’s going on with the Gulf and the impact it’s having on prices.” → </w:t>
      </w:r>
      <w:r>
        <w:rPr>
          <w:rFonts w:ascii="Calibri" w:hAnsi="Calibri"/>
          <w:b/>
          <w:i/>
          <w:color w:val="525866"/>
          <w:sz w:val="22"/>
        </w:rPr>
        <w:t>Positive read-through for Dow’s PE packaging volumes and II&amp;I demand.</w:t>
      </w:r>
    </w:p>
    <w:p>
      <w:pPr>
        <w:pStyle w:val="ListBullet"/>
        <w:ind w:left="360" w:hanging="360"/>
      </w:pPr>
      <w:r>
        <w:rPr>
          <w:rFonts w:ascii="Calibri" w:hAnsi="Calibri"/>
          <w:b/>
          <w:color w:val="525866"/>
          <w:sz w:val="22"/>
        </w:rPr>
        <w:t xml:space="preserve">Auto market softness: </w:t>
      </w:r>
      <w:r>
        <w:rPr>
          <w:rFonts w:ascii="Calibri" w:hAnsi="Calibri"/>
          <w:i/>
          <w:color w:val="525866"/>
          <w:sz w:val="22"/>
        </w:rPr>
        <w:t xml:space="preserve">“The auto market, I think, is a bit softer this year… that global market will be off low single digits.” → </w:t>
      </w:r>
      <w:r>
        <w:rPr>
          <w:rFonts w:ascii="Calibri" w:hAnsi="Calibri"/>
          <w:b/>
          <w:i/>
          <w:color w:val="525866"/>
          <w:sz w:val="22"/>
        </w:rPr>
        <w:t>Consistent with Dow’s own June 9 commentary flagging ‘declining demand since April across automotive markets.’ Modest negative for PM&amp;C silicones.</w:t>
      </w:r>
    </w:p>
    <w:p>
      <w:pPr>
        <w:pStyle w:val="ListBullet"/>
        <w:ind w:left="360" w:hanging="360"/>
      </w:pPr>
      <w:r>
        <w:rPr>
          <w:rFonts w:ascii="Calibri" w:hAnsi="Calibri"/>
          <w:b/>
          <w:color w:val="525866"/>
          <w:sz w:val="22"/>
        </w:rPr>
        <w:t xml:space="preserve">Supply chain tightness to persist 6–9+ months: </w:t>
      </w:r>
      <w:r>
        <w:rPr>
          <w:rFonts w:ascii="Calibri" w:hAnsi="Calibri"/>
          <w:i/>
          <w:color w:val="525866"/>
          <w:sz w:val="22"/>
        </w:rPr>
        <w:t xml:space="preserve">“It’s going to take a while to reestablish the supply chain… at least 6 to 9 months and really getting back to some stability.” And: “I don’t think we’re ever going back to where we were… I just think it’s going to be structurally short for quite a long time.” → </w:t>
      </w:r>
      <w:r>
        <w:rPr>
          <w:rFonts w:ascii="Calibri" w:hAnsi="Calibri"/>
          <w:b/>
          <w:i/>
          <w:color w:val="525866"/>
          <w:sz w:val="22"/>
        </w:rPr>
        <w:t>Validates Dow’s 275-day normalization estimate; supports sustained PE pricing through Q2 and into H2.</w:t>
      </w:r>
    </w:p>
    <w:p>
      <w:pPr>
        <w:pStyle w:val="ListBullet"/>
        <w:ind w:left="360" w:hanging="360"/>
      </w:pPr>
      <w:r>
        <w:rPr>
          <w:rFonts w:ascii="Calibri" w:hAnsi="Calibri"/>
          <w:b/>
          <w:color w:val="525866"/>
          <w:sz w:val="22"/>
        </w:rPr>
        <w:t xml:space="preserve">North American assets are structural winners: </w:t>
      </w:r>
      <w:r>
        <w:rPr>
          <w:rFonts w:ascii="Calibri" w:hAnsi="Calibri"/>
          <w:i/>
          <w:color w:val="525866"/>
          <w:sz w:val="22"/>
        </w:rPr>
        <w:t xml:space="preserve">“The North American chemical assets will be winners in this long term… Our energy costs are advantaged. Our olefin cost structure with ethane and propane are advantaged.” → </w:t>
      </w:r>
      <w:r>
        <w:rPr>
          <w:rFonts w:ascii="Calibri" w:hAnsi="Calibri"/>
          <w:b/>
          <w:i/>
          <w:color w:val="525866"/>
          <w:sz w:val="22"/>
        </w:rPr>
        <w:t>Direct read-through for Dow’s Americas cracker fleet, which management noted was already running at very high utilization rates.</w:t>
      </w:r>
    </w:p>
    <w:p>
      <w:pPr>
        <w:pStyle w:val="ListBullet"/>
        <w:ind w:left="360" w:hanging="360"/>
      </w:pPr>
      <w:r>
        <w:rPr>
          <w:rFonts w:ascii="Calibri" w:hAnsi="Calibri"/>
          <w:b/>
          <w:color w:val="525866"/>
          <w:sz w:val="22"/>
        </w:rPr>
        <w:t xml:space="preserve">Naphtha shortage structural: </w:t>
      </w:r>
      <w:r>
        <w:rPr>
          <w:rFonts w:ascii="Calibri" w:hAnsi="Calibri"/>
          <w:i/>
          <w:color w:val="525866"/>
          <w:sz w:val="22"/>
        </w:rPr>
        <w:t xml:space="preserve">“A lot — 15%, 20% of the naphtha for the world comes out of the Gulf, it’s not coming out… that naphtha situation is going to drag on for a long time.” → </w:t>
      </w:r>
      <w:r>
        <w:rPr>
          <w:rFonts w:ascii="Calibri" w:hAnsi="Calibri"/>
          <w:b/>
          <w:i/>
          <w:color w:val="525866"/>
          <w:sz w:val="22"/>
        </w:rPr>
        <w:t>Confirms Dow’s competitive advantage vs. naphtha-dependent European and Asian competitors; supports Terneuzen/Tarragona propane-cracking advantage.</w:t>
      </w:r>
    </w:p>
    <w:p>
      <w:pPr>
        <w:pStyle w:val="ListBullet"/>
        <w:ind w:left="360" w:hanging="360"/>
      </w:pPr>
      <w:r>
        <w:rPr>
          <w:rFonts w:ascii="Calibri" w:hAnsi="Calibri"/>
          <w:b/>
          <w:color w:val="525866"/>
          <w:sz w:val="22"/>
        </w:rPr>
        <w:t xml:space="preserve">Chemical Intermediates margins above normalized: </w:t>
      </w:r>
      <w:r>
        <w:rPr>
          <w:rFonts w:ascii="Calibri" w:hAnsi="Calibri"/>
          <w:i/>
          <w:color w:val="525866"/>
          <w:sz w:val="22"/>
        </w:rPr>
        <w:t xml:space="preserve">“The margins right now are certainly higher than what I would call normalized in the world that we now live in, given the structural dynamics out of China.” → </w:t>
      </w:r>
      <w:r>
        <w:rPr>
          <w:rFonts w:ascii="Calibri" w:hAnsi="Calibri"/>
          <w:b/>
          <w:i/>
          <w:color w:val="525866"/>
          <w:sz w:val="22"/>
        </w:rPr>
        <w:t>Positive read-through for Dow’s II&amp;I segment (polyols, MDI, propylene oxide derivatives).</w:t>
      </w:r>
    </w:p>
    <w:p>
      <w:pPr>
        <w:pStyle w:val="ListBullet"/>
        <w:ind w:left="360" w:hanging="360"/>
      </w:pPr>
      <w:r>
        <w:rPr>
          <w:rFonts w:ascii="Calibri" w:hAnsi="Calibri"/>
          <w:b/>
          <w:color w:val="525866"/>
          <w:sz w:val="22"/>
        </w:rPr>
        <w:t xml:space="preserve">Pricing increases implemented as planned: </w:t>
      </w:r>
      <w:r>
        <w:rPr>
          <w:rFonts w:ascii="Calibri" w:hAnsi="Calibri"/>
          <w:i/>
          <w:color w:val="525866"/>
          <w:sz w:val="22"/>
        </w:rPr>
        <w:t xml:space="preserve">“You’ve got the benefits of price increases we put in place. We’ve got them all in place as we said we would do. I’m feeling confident about that.” → </w:t>
      </w:r>
      <w:r>
        <w:rPr>
          <w:rFonts w:ascii="Calibri" w:hAnsi="Calibri"/>
          <w:b/>
          <w:i/>
          <w:color w:val="525866"/>
          <w:sz w:val="22"/>
        </w:rPr>
        <w:t>Supports Dow’s April $0.30/lb PE settlement and June $0.20/lb increase announcement.</w:t>
      </w:r>
    </w:p>
    <w:p>
      <w:pPr>
        <w:pStyle w:val="ListBullet"/>
        <w:ind w:left="360" w:hanging="360"/>
      </w:pPr>
      <w:r>
        <w:rPr>
          <w:rFonts w:ascii="Calibri" w:hAnsi="Calibri"/>
          <w:b/>
          <w:color w:val="525866"/>
          <w:sz w:val="22"/>
        </w:rPr>
        <w:t xml:space="preserve">Tracking upper half of Q2 guidance: </w:t>
      </w:r>
      <w:r>
        <w:rPr>
          <w:rFonts w:ascii="Calibri" w:hAnsi="Calibri"/>
          <w:i/>
          <w:color w:val="525866"/>
          <w:sz w:val="22"/>
        </w:rPr>
        <w:t xml:space="preserve">Eastman guided Q2 EPS of $1.70–$1.90 and Costa stated: “I would say where I sit today, you could see potentially we’re in that zone [upper half], but June is an extremely important month.” → </w:t>
      </w:r>
      <w:r>
        <w:rPr>
          <w:rFonts w:ascii="Calibri" w:hAnsi="Calibri"/>
          <w:b/>
          <w:i/>
          <w:color w:val="525866"/>
          <w:sz w:val="22"/>
        </w:rPr>
        <w:t>Consistent with Dow’s own framing that June is the peak demand month representing a disproportionate share of Q2 volume.</w:t>
      </w:r>
    </w:p>
    <w:p>
      <w:pPr>
        <w:pStyle w:val="Heading3"/>
      </w:pPr>
      <w:r>
        <w:rPr>
          <w:rFonts w:ascii="Calibri" w:hAnsi="Calibri"/>
          <w:b/>
          <w:color w:val="3B4259"/>
          <w:sz w:val="24"/>
        </w:rPr>
        <w:t>Covestro — FY 2026 Guidance Raise, July 9, 2026</w:t>
      </w:r>
    </w:p>
    <w:p>
      <w:r>
        <w:rPr>
          <w:rFonts w:ascii="Calibri" w:hAnsi="Calibri"/>
          <w:b/>
          <w:color w:val="525866"/>
          <w:sz w:val="22"/>
        </w:rPr>
        <w:t xml:space="preserve">Relevance: HIGH for II&amp;I segment. </w:t>
      </w:r>
      <w:r>
        <w:rPr>
          <w:rFonts w:ascii="Calibri" w:hAnsi="Calibri"/>
          <w:color w:val="525866"/>
          <w:sz w:val="22"/>
        </w:rPr>
        <w:t>Covestro (a major MDI and polyurethanes producer, direct competitor to Dow’s II&amp;I segment) raised its full-year 2026 EBITDA guidance significantly above prior forecast, citing higher selling prices. This is a direct positive read-through for Dow’s polyols and MDI business within II&amp;I, which management already flagged as a source of Q2 upside at the June 9 conference. Covestro’s guidance raise confirms that the tightness in polyurethanes markets that Dow identified in April has persisted and potentially strengthened through Q2.</w:t>
      </w:r>
    </w:p>
    <w:p>
      <w:pPr>
        <w:pStyle w:val="Heading3"/>
      </w:pPr>
      <w:r>
        <w:rPr>
          <w:rFonts w:ascii="Calibri" w:hAnsi="Calibri"/>
          <w:b/>
          <w:color w:val="3B4259"/>
          <w:sz w:val="24"/>
        </w:rPr>
        <w:t>Olin/Huntsman Merger — June 16, 2026 (Sector Consolidation Read-Through)</w:t>
      </w:r>
    </w:p>
    <w:p>
      <w:r>
        <w:rPr>
          <w:rFonts w:ascii="Calibri" w:hAnsi="Calibri"/>
          <w:b/>
          <w:color w:val="525866"/>
          <w:sz w:val="22"/>
        </w:rPr>
        <w:t xml:space="preserve">Relevance: MODERATE. </w:t>
      </w:r>
      <w:r>
        <w:rPr>
          <w:rFonts w:ascii="Calibri" w:hAnsi="Calibri"/>
          <w:color w:val="525866"/>
          <w:sz w:val="22"/>
        </w:rPr>
        <w:t>Olin’s acquisition of Huntsman in a $2.43B all-stock deal represents further consolidation in the specialty chemicals sector. Huntsman’s MDI and polyols business overlaps with Dow’s II&amp;I segment. Sector consolidation generally supports pricing discipline and reduces competitive capacity — a modest positive for Dow’s II&amp;I margins over the medium term. The merger announcement itself (8-K forward-looking statements) contains no actionable Q2 2026 demand/pricing commentary and is excluded from the read-through analysis; the strategic implication is the relevant signal.</w:t>
      </w:r>
    </w:p>
    <w:p>
      <w:pPr>
        <w:pStyle w:val="Heading3"/>
      </w:pPr>
      <w:r>
        <w:rPr>
          <w:rFonts w:ascii="Calibri" w:hAnsi="Calibri"/>
          <w:b/>
          <w:color w:val="3B4259"/>
          <w:sz w:val="24"/>
        </w:rPr>
        <w:t>Excluded Peer Commentary (Not Eligible)</w:t>
      </w:r>
    </w:p>
    <w:p>
      <w:pPr>
        <w:pStyle w:val="ListBullet"/>
        <w:ind w:left="360" w:hanging="360"/>
      </w:pPr>
      <w:r>
        <w:rPr>
          <w:rFonts w:ascii="Calibri" w:hAnsi="Calibri"/>
          <w:b/>
          <w:color w:val="525866"/>
          <w:sz w:val="22"/>
        </w:rPr>
        <w:t xml:space="preserve">LyondellBasell (LYB) — May 29, 2026 8-K: </w:t>
      </w:r>
      <w:r>
        <w:rPr>
          <w:rFonts w:ascii="Calibri" w:hAnsi="Calibri"/>
          <w:color w:val="525866"/>
          <w:sz w:val="22"/>
        </w:rPr>
        <w:t>Amendment to structured accounts receivables facility (reduction from $900M to $700M). No operational commentary on demand, pricing, or volumes. Excluded.</w:t>
      </w:r>
    </w:p>
    <w:p>
      <w:pPr>
        <w:pStyle w:val="ListBullet"/>
        <w:ind w:left="360" w:hanging="360"/>
      </w:pPr>
      <w:r>
        <w:rPr>
          <w:rFonts w:ascii="Calibri" w:hAnsi="Calibri"/>
          <w:b/>
          <w:color w:val="525866"/>
          <w:sz w:val="22"/>
        </w:rPr>
        <w:t xml:space="preserve">Westlake Corporation (WLK) — June 15, 2026 8-K: </w:t>
      </w:r>
      <w:r>
        <w:rPr>
          <w:rFonts w:ascii="Calibri" w:hAnsi="Calibri"/>
          <w:color w:val="525866"/>
          <w:sz w:val="22"/>
        </w:rPr>
        <w:t>Announcement of completed acquisition of PVC/VCM production site in Wilhelmshaven, Germany. No Q2 2026 demand or pricing commentary. Excluded.</w:t>
      </w:r>
    </w:p>
    <w:p>
      <w:pPr>
        <w:pStyle w:val="ListBullet"/>
        <w:ind w:left="360" w:hanging="360"/>
      </w:pPr>
      <w:r>
        <w:rPr>
          <w:rFonts w:ascii="Calibri" w:hAnsi="Calibri"/>
          <w:b/>
          <w:color w:val="525866"/>
          <w:sz w:val="22"/>
        </w:rPr>
        <w:t xml:space="preserve">Olin/Huntsman 8-K Forward-Looking Statements — June 16, 2026: </w:t>
      </w:r>
      <w:r>
        <w:rPr>
          <w:rFonts w:ascii="Calibri" w:hAnsi="Calibri"/>
          <w:color w:val="525866"/>
          <w:sz w:val="22"/>
        </w:rPr>
        <w:t>Generic risk factor disclosures related to the merger transaction. No current-quarter operational commentary. Excluded.</w:t>
      </w:r>
    </w:p>
    <w:p>
      <w:pPr>
        <w:pStyle w:val="ListBullet"/>
        <w:ind w:left="360" w:hanging="360"/>
      </w:pPr>
      <w:r>
        <w:rPr>
          <w:rFonts w:ascii="Calibri" w:hAnsi="Calibri"/>
          <w:b/>
          <w:color w:val="525866"/>
          <w:sz w:val="22"/>
        </w:rPr>
        <w:t xml:space="preserve">DuPont (DD) PFAS Lawsuit — July 9, 2026: </w:t>
      </w:r>
      <w:r>
        <w:rPr>
          <w:rFonts w:ascii="Calibri" w:hAnsi="Calibri"/>
          <w:color w:val="525866"/>
          <w:sz w:val="22"/>
        </w:rPr>
        <w:t>New York AG lawsuit over PFAS/forever chemicals. Legal/regulatory matter with no Q2 2026 demand or pricing read-through for Dow. Excluded.</w:t>
      </w:r>
    </w:p>
    <w:p>
      <w:r>
        <w:br w:type="page"/>
      </w:r>
    </w:p>
    <w:p>
      <w:pPr>
        <w:pStyle w:val="Heading2"/>
      </w:pPr>
      <w:r>
        <w:rPr>
          <w:rFonts w:ascii="Calibri" w:hAnsi="Calibri"/>
          <w:b/>
          <w:color w:val="3B4259"/>
          <w:sz w:val="28"/>
        </w:rPr>
        <w:t>Appendix: EPS Revision Momentum</w:t>
      </w:r>
    </w:p>
    <w:p>
      <w:r>
        <w:rPr>
          <w:rFonts w:ascii="Calibri" w:hAnsi="Calibri"/>
          <w:color w:val="525866"/>
          <w:sz w:val="22"/>
        </w:rPr>
        <w:t>The table below shows trailing month-end snapshots of the Q2 2026 consensus diluted operating EPS estimate alongside DOW’s stock price, illustrating the dramatic revision trajectory driven by the Strait of Hormuz conflict.</w:t>
      </w:r>
    </w:p>
    <w:tbl>
      <w:tblPr>
        <w:tblStyle w:val="TableGrid"/>
        <w:tblW w:type="auto" w:w="0"/>
        <w:tblLook w:firstColumn="1" w:firstRow="1" w:lastColumn="0" w:lastRow="0" w:noHBand="0" w:noVBand="1" w:val="04A0"/>
      </w:tblPr>
      <w:tblGrid>
        <w:gridCol w:w="2880"/>
        <w:gridCol w:w="2880"/>
        <w:gridCol w:w="2880"/>
      </w:tblGrid>
      <w:tr>
        <w:tc>
          <w:tcPr>
            <w:tcW w:type="dxa" w:w="2880"/>
            <w:shd w:val="clear" w:color="auto" w:fill="3B4259"/>
          </w:tcPr>
          <w:p>
            <w:r>
              <w:rPr>
                <w:rFonts w:ascii="Calibri" w:hAnsi="Calibri"/>
                <w:b/>
                <w:color w:val="FFFFFF"/>
                <w:sz w:val="22"/>
              </w:rPr>
              <w:t>Month-End</w:t>
            </w:r>
          </w:p>
        </w:tc>
        <w:tc>
          <w:tcPr>
            <w:tcW w:type="dxa" w:w="2880"/>
            <w:shd w:val="clear" w:color="auto" w:fill="3B4259"/>
          </w:tcPr>
          <w:p>
            <w:r>
              <w:rPr>
                <w:rFonts w:ascii="Calibri" w:hAnsi="Calibri"/>
                <w:b/>
                <w:color w:val="FFFFFF"/>
                <w:sz w:val="22"/>
              </w:rPr>
              <w:t>Q2 2026 EPS Estimate ($/sh)</w:t>
            </w:r>
          </w:p>
        </w:tc>
        <w:tc>
          <w:tcPr>
            <w:tcW w:type="dxa" w:w="2880"/>
            <w:shd w:val="clear" w:color="auto" w:fill="3B4259"/>
          </w:tcPr>
          <w:p>
            <w:r>
              <w:rPr>
                <w:rFonts w:ascii="Calibri" w:hAnsi="Calibri"/>
                <w:b/>
                <w:color w:val="FFFFFF"/>
                <w:sz w:val="22"/>
              </w:rPr>
              <w:t>DOW Stock Price ($)</w:t>
            </w:r>
          </w:p>
        </w:tc>
      </w:tr>
      <w:tr>
        <w:tc>
          <w:tcPr>
            <w:tcW w:type="dxa" w:w="2880"/>
          </w:tcPr>
          <w:p>
            <w:r>
              <w:rPr>
                <w:rFonts w:ascii="Calibri" w:hAnsi="Calibri"/>
                <w:sz w:val="22"/>
              </w:rPr>
              <w:t>Aug 2025</w:t>
            </w:r>
          </w:p>
        </w:tc>
        <w:tc>
          <w:tcPr>
            <w:tcW w:type="dxa" w:w="2880"/>
          </w:tcPr>
          <w:p>
            <w:r>
              <w:rPr>
                <w:rFonts w:ascii="Calibri" w:hAnsi="Calibri"/>
                <w:sz w:val="22"/>
              </w:rPr>
              <w:t>$0.222</w:t>
            </w:r>
          </w:p>
        </w:tc>
        <w:tc>
          <w:tcPr>
            <w:tcW w:type="dxa" w:w="2880"/>
          </w:tcPr>
          <w:p>
            <w:r>
              <w:rPr>
                <w:rFonts w:ascii="Calibri" w:hAnsi="Calibri"/>
                <w:sz w:val="22"/>
              </w:rPr>
              <w:t>$24.63</w:t>
            </w:r>
          </w:p>
        </w:tc>
      </w:tr>
      <w:tr>
        <w:tc>
          <w:tcPr>
            <w:tcW w:type="dxa" w:w="2880"/>
          </w:tcPr>
          <w:p>
            <w:r>
              <w:rPr>
                <w:rFonts w:ascii="Calibri" w:hAnsi="Calibri"/>
                <w:sz w:val="22"/>
              </w:rPr>
              <w:t>Sep 2025</w:t>
            </w:r>
          </w:p>
        </w:tc>
        <w:tc>
          <w:tcPr>
            <w:tcW w:type="dxa" w:w="2880"/>
          </w:tcPr>
          <w:p>
            <w:r>
              <w:rPr>
                <w:rFonts w:ascii="Calibri" w:hAnsi="Calibri"/>
                <w:sz w:val="22"/>
              </w:rPr>
              <w:t>-$0.064</w:t>
            </w:r>
          </w:p>
        </w:tc>
        <w:tc>
          <w:tcPr>
            <w:tcW w:type="dxa" w:w="2880"/>
          </w:tcPr>
          <w:p>
            <w:r>
              <w:rPr>
                <w:rFonts w:ascii="Calibri" w:hAnsi="Calibri"/>
                <w:sz w:val="22"/>
              </w:rPr>
              <w:t>$22.93</w:t>
            </w:r>
          </w:p>
        </w:tc>
      </w:tr>
      <w:tr>
        <w:tc>
          <w:tcPr>
            <w:tcW w:type="dxa" w:w="2880"/>
          </w:tcPr>
          <w:p>
            <w:r>
              <w:rPr>
                <w:rFonts w:ascii="Calibri" w:hAnsi="Calibri"/>
                <w:sz w:val="22"/>
              </w:rPr>
              <w:t>Oct 2025</w:t>
            </w:r>
          </w:p>
        </w:tc>
        <w:tc>
          <w:tcPr>
            <w:tcW w:type="dxa" w:w="2880"/>
          </w:tcPr>
          <w:p>
            <w:r>
              <w:rPr>
                <w:rFonts w:ascii="Calibri" w:hAnsi="Calibri"/>
                <w:sz w:val="22"/>
              </w:rPr>
              <w:t>-$0.008</w:t>
            </w:r>
          </w:p>
        </w:tc>
        <w:tc>
          <w:tcPr>
            <w:tcW w:type="dxa" w:w="2880"/>
          </w:tcPr>
          <w:p>
            <w:r>
              <w:rPr>
                <w:rFonts w:ascii="Calibri" w:hAnsi="Calibri"/>
                <w:sz w:val="22"/>
              </w:rPr>
              <w:t>$23.85</w:t>
            </w:r>
          </w:p>
        </w:tc>
      </w:tr>
      <w:tr>
        <w:tc>
          <w:tcPr>
            <w:tcW w:type="dxa" w:w="2880"/>
          </w:tcPr>
          <w:p>
            <w:r>
              <w:rPr>
                <w:rFonts w:ascii="Calibri" w:hAnsi="Calibri"/>
                <w:sz w:val="22"/>
              </w:rPr>
              <w:t>Nov 2025</w:t>
            </w:r>
          </w:p>
        </w:tc>
        <w:tc>
          <w:tcPr>
            <w:tcW w:type="dxa" w:w="2880"/>
          </w:tcPr>
          <w:p>
            <w:r>
              <w:rPr>
                <w:rFonts w:ascii="Calibri" w:hAnsi="Calibri"/>
                <w:sz w:val="22"/>
              </w:rPr>
              <w:t>-$0.008</w:t>
            </w:r>
          </w:p>
        </w:tc>
        <w:tc>
          <w:tcPr>
            <w:tcW w:type="dxa" w:w="2880"/>
          </w:tcPr>
          <w:p>
            <w:r>
              <w:rPr>
                <w:rFonts w:ascii="Calibri" w:hAnsi="Calibri"/>
                <w:sz w:val="22"/>
              </w:rPr>
              <w:t>$23.85</w:t>
            </w:r>
          </w:p>
        </w:tc>
      </w:tr>
      <w:tr>
        <w:tc>
          <w:tcPr>
            <w:tcW w:type="dxa" w:w="2880"/>
          </w:tcPr>
          <w:p>
            <w:r>
              <w:rPr>
                <w:rFonts w:ascii="Calibri" w:hAnsi="Calibri"/>
                <w:sz w:val="22"/>
              </w:rPr>
              <w:t>Dec 2025</w:t>
            </w:r>
          </w:p>
        </w:tc>
        <w:tc>
          <w:tcPr>
            <w:tcW w:type="dxa" w:w="2880"/>
          </w:tcPr>
          <w:p>
            <w:r>
              <w:rPr>
                <w:rFonts w:ascii="Calibri" w:hAnsi="Calibri"/>
                <w:sz w:val="22"/>
              </w:rPr>
              <w:t>-$0.004</w:t>
            </w:r>
          </w:p>
        </w:tc>
        <w:tc>
          <w:tcPr>
            <w:tcW w:type="dxa" w:w="2880"/>
          </w:tcPr>
          <w:p>
            <w:r>
              <w:rPr>
                <w:rFonts w:ascii="Calibri" w:hAnsi="Calibri"/>
                <w:sz w:val="22"/>
              </w:rPr>
              <w:t>$23.38</w:t>
            </w:r>
          </w:p>
        </w:tc>
      </w:tr>
      <w:tr>
        <w:tc>
          <w:tcPr>
            <w:tcW w:type="dxa" w:w="2880"/>
          </w:tcPr>
          <w:p>
            <w:r>
              <w:rPr>
                <w:rFonts w:ascii="Calibri" w:hAnsi="Calibri"/>
                <w:sz w:val="22"/>
              </w:rPr>
              <w:t>Jan 2026</w:t>
            </w:r>
          </w:p>
        </w:tc>
        <w:tc>
          <w:tcPr>
            <w:tcW w:type="dxa" w:w="2880"/>
          </w:tcPr>
          <w:p>
            <w:r>
              <w:rPr>
                <w:rFonts w:ascii="Calibri" w:hAnsi="Calibri"/>
                <w:sz w:val="22"/>
              </w:rPr>
              <w:t>-$0.012</w:t>
            </w:r>
          </w:p>
        </w:tc>
        <w:tc>
          <w:tcPr>
            <w:tcW w:type="dxa" w:w="2880"/>
          </w:tcPr>
          <w:p>
            <w:r>
              <w:rPr>
                <w:rFonts w:ascii="Calibri" w:hAnsi="Calibri"/>
                <w:sz w:val="22"/>
              </w:rPr>
              <w:t>$27.55</w:t>
            </w:r>
          </w:p>
        </w:tc>
      </w:tr>
      <w:tr>
        <w:tc>
          <w:tcPr>
            <w:tcW w:type="dxa" w:w="2880"/>
          </w:tcPr>
          <w:p>
            <w:r>
              <w:rPr>
                <w:rFonts w:ascii="Calibri" w:hAnsi="Calibri"/>
                <w:sz w:val="22"/>
              </w:rPr>
              <w:t>Feb 2026</w:t>
            </w:r>
          </w:p>
        </w:tc>
        <w:tc>
          <w:tcPr>
            <w:tcW w:type="dxa" w:w="2880"/>
          </w:tcPr>
          <w:p>
            <w:r>
              <w:rPr>
                <w:rFonts w:ascii="Calibri" w:hAnsi="Calibri"/>
                <w:sz w:val="22"/>
              </w:rPr>
              <w:t>-$0.012</w:t>
            </w:r>
          </w:p>
        </w:tc>
        <w:tc>
          <w:tcPr>
            <w:tcW w:type="dxa" w:w="2880"/>
          </w:tcPr>
          <w:p>
            <w:r>
              <w:rPr>
                <w:rFonts w:ascii="Calibri" w:hAnsi="Calibri"/>
                <w:sz w:val="22"/>
              </w:rPr>
              <w:t>$30.73</w:t>
            </w:r>
          </w:p>
        </w:tc>
      </w:tr>
      <w:tr>
        <w:tc>
          <w:tcPr>
            <w:tcW w:type="dxa" w:w="2880"/>
          </w:tcPr>
          <w:p>
            <w:r>
              <w:rPr>
                <w:rFonts w:ascii="Calibri" w:hAnsi="Calibri"/>
                <w:sz w:val="22"/>
              </w:rPr>
              <w:t>Mar 2026 (conflict begins)</w:t>
            </w:r>
          </w:p>
        </w:tc>
        <w:tc>
          <w:tcPr>
            <w:tcW w:type="dxa" w:w="2880"/>
          </w:tcPr>
          <w:p>
            <w:r>
              <w:rPr>
                <w:rFonts w:ascii="Calibri" w:hAnsi="Calibri"/>
                <w:b/>
                <w:color w:val="30A46C"/>
                <w:sz w:val="22"/>
              </w:rPr>
              <w:t>$0.186</w:t>
            </w:r>
          </w:p>
        </w:tc>
        <w:tc>
          <w:tcPr>
            <w:tcW w:type="dxa" w:w="2880"/>
          </w:tcPr>
          <w:p>
            <w:r>
              <w:rPr>
                <w:rFonts w:ascii="Calibri" w:hAnsi="Calibri"/>
                <w:sz w:val="22"/>
              </w:rPr>
              <w:t>$41.65</w:t>
            </w:r>
          </w:p>
        </w:tc>
      </w:tr>
      <w:tr>
        <w:tc>
          <w:tcPr>
            <w:tcW w:type="dxa" w:w="2880"/>
          </w:tcPr>
          <w:p>
            <w:r>
              <w:rPr>
                <w:rFonts w:ascii="Calibri" w:hAnsi="Calibri"/>
                <w:sz w:val="22"/>
              </w:rPr>
              <w:t>Apr 2026 (Q1 earnings)</w:t>
            </w:r>
          </w:p>
        </w:tc>
        <w:tc>
          <w:tcPr>
            <w:tcW w:type="dxa" w:w="2880"/>
          </w:tcPr>
          <w:p>
            <w:r>
              <w:rPr>
                <w:rFonts w:ascii="Calibri" w:hAnsi="Calibri"/>
                <w:b/>
                <w:color w:val="30A46C"/>
                <w:sz w:val="22"/>
              </w:rPr>
              <w:t>$1.196</w:t>
            </w:r>
          </w:p>
        </w:tc>
        <w:tc>
          <w:tcPr>
            <w:tcW w:type="dxa" w:w="2880"/>
          </w:tcPr>
          <w:p>
            <w:r>
              <w:rPr>
                <w:rFonts w:ascii="Calibri" w:hAnsi="Calibri"/>
                <w:sz w:val="22"/>
              </w:rPr>
              <w:t>$40.49</w:t>
            </w:r>
          </w:p>
        </w:tc>
      </w:tr>
      <w:tr>
        <w:tc>
          <w:tcPr>
            <w:tcW w:type="dxa" w:w="2880"/>
          </w:tcPr>
          <w:p>
            <w:r>
              <w:rPr>
                <w:rFonts w:ascii="Calibri" w:hAnsi="Calibri"/>
                <w:sz w:val="22"/>
              </w:rPr>
              <w:t>May 2026</w:t>
            </w:r>
          </w:p>
        </w:tc>
        <w:tc>
          <w:tcPr>
            <w:tcW w:type="dxa" w:w="2880"/>
          </w:tcPr>
          <w:p>
            <w:r>
              <w:rPr>
                <w:rFonts w:ascii="Calibri" w:hAnsi="Calibri"/>
                <w:sz w:val="22"/>
              </w:rPr>
              <w:t>$1.196</w:t>
            </w:r>
          </w:p>
        </w:tc>
        <w:tc>
          <w:tcPr>
            <w:tcW w:type="dxa" w:w="2880"/>
          </w:tcPr>
          <w:p>
            <w:r>
              <w:rPr>
                <w:rFonts w:ascii="Calibri" w:hAnsi="Calibri"/>
                <w:sz w:val="22"/>
              </w:rPr>
              <w:t>$33.75</w:t>
            </w:r>
          </w:p>
        </w:tc>
      </w:tr>
      <w:tr>
        <w:tc>
          <w:tcPr>
            <w:tcW w:type="dxa" w:w="2880"/>
          </w:tcPr>
          <w:p>
            <w:r>
              <w:rPr>
                <w:rFonts w:ascii="Calibri" w:hAnsi="Calibri"/>
                <w:sz w:val="22"/>
              </w:rPr>
              <w:t>Jun 2026</w:t>
            </w:r>
          </w:p>
        </w:tc>
        <w:tc>
          <w:tcPr>
            <w:tcW w:type="dxa" w:w="2880"/>
          </w:tcPr>
          <w:p>
            <w:r>
              <w:rPr>
                <w:rFonts w:ascii="Calibri" w:hAnsi="Calibri"/>
                <w:sz w:val="22"/>
              </w:rPr>
              <w:t>$1.182</w:t>
            </w:r>
          </w:p>
        </w:tc>
        <w:tc>
          <w:tcPr>
            <w:tcW w:type="dxa" w:w="2880"/>
          </w:tcPr>
          <w:p>
            <w:r>
              <w:rPr>
                <w:rFonts w:ascii="Calibri" w:hAnsi="Calibri"/>
                <w:sz w:val="22"/>
              </w:rPr>
              <w:t>$27.36</w:t>
            </w:r>
          </w:p>
        </w:tc>
      </w:tr>
      <w:tr>
        <w:tc>
          <w:tcPr>
            <w:tcW w:type="dxa" w:w="2880"/>
          </w:tcPr>
          <w:p>
            <w:r>
              <w:rPr>
                <w:rFonts w:ascii="Calibri" w:hAnsi="Calibri"/>
                <w:sz w:val="22"/>
              </w:rPr>
              <w:t>Jul 2026 (latest)</w:t>
            </w:r>
          </w:p>
        </w:tc>
        <w:tc>
          <w:tcPr>
            <w:tcW w:type="dxa" w:w="2880"/>
          </w:tcPr>
          <w:p>
            <w:r>
              <w:rPr>
                <w:rFonts w:ascii="Calibri" w:hAnsi="Calibri"/>
                <w:sz w:val="22"/>
              </w:rPr>
              <w:t>$1.233</w:t>
            </w:r>
          </w:p>
        </w:tc>
        <w:tc>
          <w:tcPr>
            <w:tcW w:type="dxa" w:w="2880"/>
          </w:tcPr>
          <w:p>
            <w:r>
              <w:rPr>
                <w:rFonts w:ascii="Calibri" w:hAnsi="Calibri"/>
                <w:sz w:val="22"/>
              </w:rPr>
              <w:t>$31.26</w:t>
            </w:r>
          </w:p>
        </w:tc>
      </w:tr>
    </w:tbl>
    <w:p>
      <w:r>
        <w:rPr>
          <w:rFonts w:ascii="Calibri" w:hAnsi="Calibri"/>
          <w:i/>
          <w:color w:val="525866"/>
          <w:sz w:val="22"/>
        </w:rPr>
        <w:t xml:space="preserve">Source: Implied Earnings &amp; Estimate Revision Momentum Tool. </w:t>
      </w:r>
      <w:r>
        <w:rPr>
          <w:rFonts w:ascii="Calibri" w:hAnsi="Calibri"/>
          <w:i/>
          <w:color w:val="525866"/>
          <w:sz w:val="22"/>
        </w:rPr>
        <w:t>The conflict-driven EPS revision surge (from near-zero to $1.23) is one of the most dramatic in recent memory for a large-cap industrial. The stock’s subsequent -29% decline from its April/May peak despite stable EPS estimates reflects pure multiple compression — the market pricing out the conflict premium as ceasefire speculation rose. The modest July estimate uptick ($1.182 → $1.233) alongside a stock recovery from $27 to $31 suggests the market is beginning to re-rate, potentially setting up a positive reaction to a Q2 beat.</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