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EFX thoroughly before writing the preview. Let me start by gathering recent earnings materials, guidance, and news.Let me read the most recent (2026Q1) earnings release and call transcript, plus check the acquisition news.I have strong context. Let me pull recent news/analyst sentiment and the acquisition details, plus current mortgage/rate backdrop.I now have a comprehensive picture. Let me quickly compute the price context to frame the setup accurately.Now I have everything I need. Here is the preview.</w:t>
      </w:r>
    </w:p>
    <w:p>
      <w:r>
        <w:pict>
          <v:rect style="width:0;height:1.5pt" o:hralign="center" o:hrstd="t" o:hr="t"/>
        </w:pict>
      </w:r>
    </w:p>
    <w:bookmarkStart w:id="19" w:name="equifax-efx--q2-2026-earnings-preview"/>
    <w:p>
      <w:pPr>
        <w:pStyle w:val="Heading1"/>
      </w:pPr>
      <w:r>
        <w:t xml:space="preserve">Equifax (EFX) — Q2 2026 Earnings Preview</w:t>
      </w:r>
    </w:p>
    <w:bookmarkStart w:id="9" w:name="Xd5aba8a9a48ee3d1d31f4e05b2bfadb1f4a5ad7"/>
    <w:p>
      <w:pPr>
        <w:pStyle w:val="Heading3"/>
      </w:pPr>
      <w:r>
        <w:t xml:space="preserve">Reports before market open, July 21, 2026 (2026Q2 Earnings Call)</w:t>
      </w:r>
    </w:p>
    <w:bookmarkEnd w:id="9"/>
    <w:bookmarkStart w:id="10" w:name="the-setup-in-one-line"/>
    <w:p>
      <w:pPr>
        <w:pStyle w:val="Heading2"/>
      </w:pPr>
      <w:r>
        <w:t xml:space="preserve">The Setup in One Line</w:t>
      </w:r>
    </w:p>
    <w:p>
      <w:pPr>
        <w:pStyle w:val="FirstParagraph"/>
      </w:pPr>
      <w:r>
        <w:t xml:space="preserve">Equifax has beaten and then</w:t>
      </w:r>
      <w:r>
        <w:t xml:space="preserve"> </w:t>
      </w:r>
      <w:r>
        <w:rPr>
          <w:i/>
          <w:iCs/>
        </w:rPr>
        <w:t xml:space="preserve">declined</w:t>
      </w:r>
      <w:r>
        <w:t xml:space="preserve"> </w:t>
      </w:r>
      <w:r>
        <w:t xml:space="preserve">on its last two prints because it refused to raise full-year guidance despite outperformance — and this quarter the debate is whether a suddenly hawkish rate backdrop has finally caught up with the mortgage-heavy revenue reacceleration story. The bar is management's own guide:</w:t>
      </w:r>
      <w:r>
        <w:t xml:space="preserve"> </w:t>
      </w:r>
      <w:r>
        <w:rPr>
          <w:b/>
          <w:bCs/>
        </w:rPr>
        <w:t xml:space="preserve">Q2 revenue of $1.680–1.710B (~10.3% reported growth at the midpoint) and adjusted EPS of $2.15–2.25 (~10% growth)</w:t>
      </w:r>
      <w:r>
        <w:t xml:space="preserve">.</w:t>
      </w:r>
    </w:p>
    <w:bookmarkEnd w:id="10"/>
    <w:bookmarkStart w:id="11" w:name="where-the-stock-sits-going-in"/>
    <w:p>
      <w:pPr>
        <w:pStyle w:val="Heading2"/>
      </w:pPr>
      <w:r>
        <w:t xml:space="preserve">Where the Stock Sits Going In</w:t>
      </w:r>
    </w:p>
    <w:p>
      <w:pPr>
        <w:pStyle w:val="Compact"/>
        <w:numPr>
          <w:ilvl w:val="0"/>
          <w:numId w:val="1001"/>
        </w:numPr>
      </w:pPr>
      <w:r>
        <w:t xml:space="preserve">EFX is</w:t>
      </w:r>
      <w:r>
        <w:t xml:space="preserve"> </w:t>
      </w:r>
      <w:r>
        <w:rPr>
          <w:b/>
          <w:bCs/>
        </w:rPr>
        <w:t xml:space="preserve">down ~16% YTD</w:t>
      </w:r>
      <w:r>
        <w:t xml:space="preserve"> </w:t>
      </w:r>
      <w:r>
        <w:t xml:space="preserve">(from ~</w:t>
      </w:r>
      <m:oMath>
        <m:r>
          <m:t>214</m:t>
        </m:r>
        <m:r>
          <m:t>t</m:t>
        </m:r>
        <m:r>
          <m:t>o</m:t>
        </m:r>
        <m:r>
          <m:t> </m:t>
        </m:r>
      </m:oMath>
      <w:r>
        <w:t xml:space="preserve">180) and still **~21% below its early-January high** near</w:t>
      </w:r>
      <w:r>
        <w:t xml:space="preserve"> </w:t>
      </w:r>
      <m:oMath>
        <m:r>
          <m:t>227</m:t>
        </m:r>
        <m:r>
          <m:rPr>
            <m:sty m:val="p"/>
          </m:rPr>
          <m:t>,</m:t>
        </m:r>
        <m:r>
          <m:t>t</m:t>
        </m:r>
        <m:r>
          <m:t>h</m:t>
        </m:r>
        <m:r>
          <m:t>o</m:t>
        </m:r>
        <m:r>
          <m:t>u</m:t>
        </m:r>
        <m:r>
          <m:t>g</m:t>
        </m:r>
        <m:r>
          <m:t>h</m:t>
        </m:r>
        <m:r>
          <m:t>i</m:t>
        </m:r>
        <m:r>
          <m:t>t</m:t>
        </m:r>
        <m:r>
          <m:t>h</m:t>
        </m:r>
        <m:r>
          <m:t>a</m:t>
        </m:r>
        <m:r>
          <m:t>s</m:t>
        </m:r>
        <m:r>
          <m:rPr>
            <m:sty m:val="p"/>
          </m:rPr>
          <m:t>*</m:t>
        </m:r>
        <m:r>
          <m:rPr>
            <m:sty m:val="p"/>
          </m:rPr>
          <m:t>*</m:t>
        </m:r>
        <m:r>
          <m:t>r</m:t>
        </m:r>
        <m:r>
          <m:t>a</m:t>
        </m:r>
        <m:r>
          <m:t>l</m:t>
        </m:r>
        <m:r>
          <m:t>l</m:t>
        </m:r>
        <m:r>
          <m:t>i</m:t>
        </m:r>
        <m:r>
          <m:t>e</m:t>
        </m:r>
        <m:r>
          <m:t>d</m:t>
        </m:r>
        <m:r>
          <m:t> </m:t>
        </m:r>
        <m:r>
          <m:t>19</m:t>
        </m:r>
      </m:oMath>
      <w:r>
        <w:t xml:space="preserve">152.</w:t>
      </w:r>
    </w:p>
    <w:p>
      <w:pPr>
        <w:pStyle w:val="Compact"/>
        <w:numPr>
          <w:ilvl w:val="0"/>
          <w:numId w:val="1001"/>
        </w:numPr>
      </w:pPr>
      <w:r>
        <w:t xml:space="preserve">The pattern matters: the stock sold off after</w:t>
      </w:r>
      <w:r>
        <w:t xml:space="preserve"> </w:t>
      </w:r>
      <w:r>
        <w:rPr>
          <w:i/>
          <w:iCs/>
        </w:rPr>
        <w:t xml:space="preserve">both</w:t>
      </w:r>
      <w:r>
        <w:t xml:space="preserve"> </w:t>
      </w:r>
      <w:r>
        <w:t xml:space="preserve">the Q4 (early Feb) and Q1 (April 21) reports despite revenue and EPS beats, as management held constant-currency guidance flat rather than flowing the beat through. Expect the same "beat-but-what-about-the-guide" dynamic.</w:t>
      </w:r>
    </w:p>
    <w:p>
      <w:pPr>
        <w:pStyle w:val="Compact"/>
        <w:numPr>
          <w:ilvl w:val="0"/>
          <w:numId w:val="1001"/>
        </w:numPr>
      </w:pPr>
      <w:r>
        <w:t xml:space="preserve">Peer context frames the two narratives pulling on EFX:</w:t>
      </w:r>
      <w:r>
        <w:t xml:space="preserve"> </w:t>
      </w:r>
      <w:r>
        <w:rPr>
          <w:b/>
          <w:bCs/>
        </w:rPr>
        <w:t xml:space="preserve">TransUnion is down only ~5% YTD</w:t>
      </w:r>
      <w:r>
        <w:t xml:space="preserve">, while</w:t>
      </w:r>
      <w:r>
        <w:t xml:space="preserve"> </w:t>
      </w:r>
      <w:r>
        <w:rPr>
          <w:b/>
          <w:bCs/>
        </w:rPr>
        <w:t xml:space="preserve">FICO is down ~23% YTD</w:t>
      </w:r>
      <w:r>
        <w:t xml:space="preserve"> </w:t>
      </w:r>
      <w:r>
        <w:t xml:space="preserve">— the latter reflecting exactly the VantageScore/score-competition risk that is a net</w:t>
      </w:r>
      <w:r>
        <w:t xml:space="preserve"> </w:t>
      </w:r>
      <w:r>
        <w:rPr>
          <w:i/>
          <w:iCs/>
        </w:rPr>
        <w:t xml:space="preserve">positive</w:t>
      </w:r>
      <w:r>
        <w:t xml:space="preserve"> </w:t>
      </w:r>
      <w:r>
        <w:t xml:space="preserve">for Equifax. EFX sits in between.</w:t>
      </w:r>
    </w:p>
    <w:bookmarkEnd w:id="11"/>
    <w:bookmarkStart w:id="12" w:name="the-macro-backdrop-is-the-story"/>
    <w:p>
      <w:pPr>
        <w:pStyle w:val="Heading2"/>
      </w:pPr>
      <w:r>
        <w:t xml:space="preserve">The Macro Backdrop Is the Story</w:t>
      </w:r>
    </w:p>
    <w:p>
      <w:pPr>
        <w:pStyle w:val="FirstParagraph"/>
      </w:pPr>
      <w:r>
        <w:t xml:space="preserve">This is the single biggest swing factor and it has gotten</w:t>
      </w:r>
      <w:r>
        <w:t xml:space="preserve"> </w:t>
      </w:r>
      <w:r>
        <w:rPr>
          <w:i/>
          <w:iCs/>
        </w:rPr>
        <w:t xml:space="preserve">worse</w:t>
      </w:r>
      <w:r>
        <w:t xml:space="preserve"> </w:t>
      </w:r>
      <w:r>
        <w:t xml:space="preserve">since the last print:</w:t>
      </w:r>
    </w:p>
    <w:p>
      <w:pPr>
        <w:pStyle w:val="Compact"/>
        <w:numPr>
          <w:ilvl w:val="0"/>
          <w:numId w:val="1002"/>
        </w:numPr>
      </w:pPr>
      <w:r>
        <w:t xml:space="preserve">On the Q1 call, management flagged that the</w:t>
      </w:r>
      <w:r>
        <w:t xml:space="preserve"> </w:t>
      </w:r>
      <w:r>
        <w:rPr>
          <w:b/>
          <w:bCs/>
        </w:rPr>
        <w:t xml:space="preserve">Iran conflict pushed rates up in March</w:t>
      </w:r>
      <w:r>
        <w:t xml:space="preserve">, mortgage activity fell over the following ~6 weeks, and current run-rates were running</w:t>
      </w:r>
      <w:r>
        <w:t xml:space="preserve"> </w:t>
      </w:r>
      <w:r>
        <w:rPr>
          <w:i/>
          <w:iCs/>
        </w:rPr>
        <w:t xml:space="preserve">slightly below</w:t>
      </w:r>
      <w:r>
        <w:t xml:space="preserve"> </w:t>
      </w:r>
      <w:r>
        <w:t xml:space="preserve">the February framework — which is why they held guidance.</w:t>
      </w:r>
    </w:p>
    <w:p>
      <w:pPr>
        <w:pStyle w:val="Compact"/>
        <w:numPr>
          <w:ilvl w:val="0"/>
          <w:numId w:val="1002"/>
        </w:numPr>
      </w:pPr>
      <w:r>
        <w:t xml:space="preserve">Since then the tape has turned outright hawkish. Multiple Fed officials (including Cleveland's Hammack) are publicly arguing rates</w:t>
      </w:r>
      <w:r>
        <w:t xml:space="preserve"> </w:t>
      </w:r>
      <w:r>
        <w:rPr>
          <w:b/>
          <w:bCs/>
        </w:rPr>
        <w:t xml:space="preserve">may need to rise</w:t>
      </w:r>
      <w:r>
        <w:t xml:space="preserve">, markets briefly priced a hike, and new Fed Chair Kevin Warsh struck a hawkish tone. That is the opposite of the rate relief EFX needs for a refi wave.</w:t>
      </w:r>
    </w:p>
    <w:p>
      <w:pPr>
        <w:pStyle w:val="Compact"/>
        <w:numPr>
          <w:ilvl w:val="0"/>
          <w:numId w:val="1002"/>
        </w:numPr>
      </w:pPr>
      <w:r>
        <w:rPr>
          <w:b/>
          <w:bCs/>
        </w:rPr>
        <w:t xml:space="preserve">Watch:</w:t>
      </w:r>
      <w:r>
        <w:t xml:space="preserve"> </w:t>
      </w:r>
      <w:r>
        <w:t xml:space="preserve">management's commentary on May–June mortgage run-rates and whether they hold, trim, or (unlikely) raise the &gt;20% full-year mortgage growth assumption. Any hint that Q2 mortgage came in below the framework would be the key negative.</w:t>
      </w:r>
    </w:p>
    <w:bookmarkEnd w:id="12"/>
    <w:bookmarkStart w:id="13" w:name="Xf065e7a9c068516115c42890f70314aa88c86aa"/>
    <w:p>
      <w:pPr>
        <w:pStyle w:val="Heading2"/>
      </w:pPr>
      <w:r>
        <w:t xml:space="preserve">What EFX Told Us to Expect for Q2 (and what to test)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Q2 2026 Guide</w:t>
            </w:r>
          </w:p>
        </w:tc>
      </w:tr>
      <w:tr>
        <w:tc>
          <w:tcPr/>
          <w:p>
            <w:pPr>
              <w:pStyle w:val="Compact"/>
            </w:pPr>
            <w:r>
              <w:t xml:space="preserve">Reported revenue</w:t>
            </w:r>
          </w:p>
        </w:tc>
        <w:tc>
          <w:tcPr/>
          <w:p>
            <w:pPr>
              <w:pStyle w:val="Compact"/>
            </w:pPr>
            <w:r>
              <w:t xml:space="preserve">$1.680–1.710B (+10.3% midpoint)</w:t>
            </w:r>
          </w:p>
        </w:tc>
      </w:tr>
      <w:tr>
        <w:tc>
          <w:tcPr/>
          <w:p>
            <w:pPr>
              <w:pStyle w:val="Compact"/>
            </w:pPr>
            <w:r>
              <w:t xml:space="preserve">Constant-currency growth</w:t>
            </w:r>
          </w:p>
        </w:tc>
        <w:tc>
          <w:tcPr/>
          <w:p>
            <w:pPr>
              <w:pStyle w:val="Compact"/>
            </w:pPr>
            <w:r>
              <w:t xml:space="preserve">+9.4% midpoint</w:t>
            </w:r>
          </w:p>
        </w:tc>
      </w:tr>
      <w:tr>
        <w:tc>
          <w:tcPr/>
          <w:p>
            <w:pPr>
              <w:pStyle w:val="Compact"/>
            </w:pPr>
            <w:r>
              <w:t xml:space="preserve">Ex-FICO reported growth</w:t>
            </w:r>
          </w:p>
        </w:tc>
        <w:tc>
          <w:tcPr/>
          <w:p>
            <w:pPr>
              <w:pStyle w:val="Compact"/>
            </w:pPr>
            <w:r>
              <w:t xml:space="preserve">~6.5% midpoint</w:t>
            </w:r>
          </w:p>
        </w:tc>
      </w:tr>
      <w:tr>
        <w:tc>
          <w:tcPr/>
          <w:p>
            <w:pPr>
              <w:pStyle w:val="Compact"/>
            </w:pPr>
            <w:r>
              <w:t xml:space="preserve">U.S. mortgage revenue</w:t>
            </w:r>
          </w:p>
        </w:tc>
        <w:tc>
          <w:tcPr/>
          <w:p>
            <w:pPr>
              <w:pStyle w:val="Compact"/>
            </w:pPr>
            <w:r>
              <w:t xml:space="preserve">Up &gt;20% (high-single-digit ex-FICO royalties)</w:t>
            </w:r>
          </w:p>
        </w:tc>
      </w:tr>
      <w:tr>
        <w:tc>
          <w:tcPr/>
          <w:p>
            <w:pPr>
              <w:pStyle w:val="Compact"/>
            </w:pPr>
            <w:r>
              <w:t xml:space="preserve">Diversified Markets</w:t>
            </w:r>
          </w:p>
        </w:tc>
        <w:tc>
          <w:tcPr/>
          <w:p>
            <w:pPr>
              <w:pStyle w:val="Compact"/>
            </w:pPr>
            <w:r>
              <w:t xml:space="preserve">Up mid-single digits,</w:t>
            </w:r>
            <w:r>
              <w:t xml:space="preserve"> </w:t>
            </w:r>
            <w:r>
              <w:rPr>
                <w:b/>
                <w:bCs/>
              </w:rPr>
              <w:t xml:space="preserve">down sequentially</w:t>
            </w:r>
            <w:r>
              <w:t xml:space="preserve"> </w:t>
            </w:r>
            <w:r>
              <w:t xml:space="preserve">vs Q1</w:t>
            </w:r>
          </w:p>
        </w:tc>
      </w:tr>
      <w:tr>
        <w:tc>
          <w:tcPr/>
          <w:p>
            <w:pPr>
              <w:pStyle w:val="Compact"/>
            </w:pPr>
            <w:r>
              <w:t xml:space="preserve">Adjusted EPS</w:t>
            </w:r>
          </w:p>
        </w:tc>
        <w:tc>
          <w:tcPr/>
          <w:p>
            <w:pPr>
              <w:pStyle w:val="Compact"/>
            </w:pPr>
            <w:r>
              <w:t xml:space="preserve">$2.15–2.25 (+~10%)</w:t>
            </w:r>
          </w:p>
        </w:tc>
      </w:tr>
      <w:tr>
        <w:tc>
          <w:tcPr/>
          <w:p>
            <w:pPr>
              <w:pStyle w:val="Compact"/>
            </w:pPr>
            <w:r>
              <w:t xml:space="preserve">Adjusted EBITDA</w:t>
            </w:r>
          </w:p>
        </w:tc>
        <w:tc>
          <w:tcPr/>
          <w:p>
            <w:pPr>
              <w:pStyle w:val="Compact"/>
            </w:pPr>
            <w:r>
              <w:t xml:space="preserve">$537–554M (+9%+); margin ~32.2% (34.3–34.7% ex-FICO)</w:t>
            </w:r>
          </w:p>
        </w:tc>
      </w:tr>
    </w:tbl>
    <w:p>
      <w:pPr>
        <w:pStyle w:val="BodyText"/>
      </w:pPr>
      <w:r>
        <w:t xml:space="preserve">Reminders that shape the optics: EFX makes</w:t>
      </w:r>
      <w:r>
        <w:t xml:space="preserve"> </w:t>
      </w:r>
      <w:r>
        <w:rPr>
          <w:b/>
          <w:bCs/>
        </w:rPr>
        <w:t xml:space="preserve">zero margin</w:t>
      </w:r>
      <w:r>
        <w:t xml:space="preserve"> </w:t>
      </w:r>
      <w:r>
        <w:t xml:space="preserve">on FICO mortgage score pass-through (~6% of total revenue), so the ex-FICO figures are the cleaner read. Q2 margins also step up sharply from Q1's 29% because Q1 carries a disproportionate share of annual equity-comp expense.</w:t>
      </w:r>
    </w:p>
    <w:bookmarkEnd w:id="13"/>
    <w:bookmarkStart w:id="14" w:name="the-segment-level-watch-list"/>
    <w:p>
      <w:pPr>
        <w:pStyle w:val="Heading2"/>
      </w:pPr>
      <w:r>
        <w:t xml:space="preserve">The Segment-Level Watch List</w:t>
      </w:r>
    </w:p>
    <w:p>
      <w:pPr>
        <w:pStyle w:val="FirstParagraph"/>
      </w:pPr>
      <w:r>
        <w:rPr>
          <w:b/>
          <w:bCs/>
        </w:rPr>
        <w:t xml:space="preserve">1. Workforce Solutions / Government — the tough comp is baked in.</w:t>
      </w:r>
      <w:r>
        <w:t xml:space="preserve"> </w:t>
      </w:r>
      <w:r>
        <w:t xml:space="preserve">Management explicitly guided</w:t>
      </w:r>
      <w:r>
        <w:t xml:space="preserve"> </w:t>
      </w:r>
      <w:r>
        <w:rPr>
          <w:b/>
          <w:bCs/>
        </w:rPr>
        <w:t xml:space="preserve">Government revenue roughly flat sequentially</w:t>
      </w:r>
      <w:r>
        <w:t xml:space="preserve"> </w:t>
      </w:r>
      <w:r>
        <w:t xml:space="preserve">in Q2 against a very difficult comp (last year's April SSA contract activation) plus state-level timing/budget friction. So flat-to-soft Government is</w:t>
      </w:r>
      <w:r>
        <w:t xml:space="preserve"> </w:t>
      </w:r>
      <w:r>
        <w:rPr>
          <w:i/>
          <w:iCs/>
        </w:rPr>
        <w:t xml:space="preserve">expected</w:t>
      </w:r>
      <w:r>
        <w:t xml:space="preserve"> </w:t>
      </w:r>
      <w:r>
        <w:t xml:space="preserve">— the tell will be forward commentary: the pipeline was cited as up ~2x YoY, with the big One Big Beautiful Bill (OB3) Medicaid/SNAP verification opportunity framed as a 2027+ story. Don't read a weak Q2 Government number as thesis-breaking; do listen for deal signings/activations and any pull-forward.</w:t>
      </w:r>
    </w:p>
    <w:p>
      <w:pPr>
        <w:pStyle w:val="BodyText"/>
      </w:pPr>
      <w:r>
        <w:rPr>
          <w:b/>
          <w:bCs/>
        </w:rPr>
        <w:t xml:space="preserve">2. TWN Indicator share gains — the growth proof point.</w:t>
      </w:r>
      <w:r>
        <w:t xml:space="preserve"> </w:t>
      </w:r>
      <w:r>
        <w:t xml:space="preserve">EFX is giving away TWN Indicator (plus cell-phone/utility/pay-TV attributes) for free to win credit-file share, and it drove a "meaningful" chunk of Q1's mortgage outperformance. In April they expanded it to</w:t>
      </w:r>
      <w:r>
        <w:t xml:space="preserve"> </w:t>
      </w:r>
      <w:r>
        <w:rPr>
          <w:b/>
          <w:bCs/>
        </w:rPr>
        <w:t xml:space="preserve">auto and personal loans</w:t>
      </w:r>
      <w:r>
        <w:t xml:space="preserve">. Evidence of share gains spreading beyond mortgage into card/auto/P-loan is the cleanest bull signal that growth is structural, not just rate-driven.</w:t>
      </w:r>
    </w:p>
    <w:p>
      <w:pPr>
        <w:pStyle w:val="BodyText"/>
      </w:pPr>
      <w:r>
        <w:rPr>
          <w:b/>
          <w:bCs/>
        </w:rPr>
        <w:t xml:space="preserve">3. USIS Diversified Markets — the soft spot.</w:t>
      </w:r>
      <w:r>
        <w:t xml:space="preserve"> </w:t>
      </w:r>
      <w:r>
        <w:t xml:space="preserve">USIS non-mortgage grew only 3% in Q1 (below plan), hit by choppy offline batch and March macro softening; management guided a reacceleration to</w:t>
      </w:r>
      <w:r>
        <w:t xml:space="preserve"> </w:t>
      </w:r>
      <w:r>
        <w:rPr>
          <w:b/>
          <w:bCs/>
        </w:rPr>
        <w:t xml:space="preserve">mid-single digits in Q2</w:t>
      </w:r>
      <w:r>
        <w:t xml:space="preserve">. Whether that reacceleration actually shows up — with no deterioration in lender marketing/risk behavior — is a credibility test. Also note new USIS President David Smith is early in his tenure.</w:t>
      </w:r>
    </w:p>
    <w:p>
      <w:pPr>
        <w:pStyle w:val="BodyText"/>
      </w:pPr>
      <w:r>
        <w:rPr>
          <w:b/>
          <w:bCs/>
        </w:rPr>
        <w:t xml:space="preserve">4. Talent Solutions.</w:t>
      </w:r>
      <w:r>
        <w:t xml:space="preserve"> </w:t>
      </w:r>
      <w:r>
        <w:t xml:space="preserve">Two straight quarters of high-single-digit growth in a weak white-collar hiring market, driven by record additions (211M active records, +11%), pricing, and new products. Watch for any inflection (positive or negative) in hiring volumes.</w:t>
      </w:r>
    </w:p>
    <w:p>
      <w:pPr>
        <w:pStyle w:val="BodyText"/>
      </w:pPr>
      <w:r>
        <w:rPr>
          <w:b/>
          <w:bCs/>
        </w:rPr>
        <w:t xml:space="preserve">5. Employer Services — a known drag.</w:t>
      </w:r>
      <w:r>
        <w:t xml:space="preserve"> </w:t>
      </w:r>
      <w:r>
        <w:t xml:space="preserve">Now guided to</w:t>
      </w:r>
      <w:r>
        <w:t xml:space="preserve"> </w:t>
      </w:r>
      <w:r>
        <w:rPr>
          <w:i/>
          <w:iCs/>
        </w:rPr>
        <w:t xml:space="preserve">decline slightly</w:t>
      </w:r>
      <w:r>
        <w:t xml:space="preserve"> </w:t>
      </w:r>
      <w:r>
        <w:t xml:space="preserve">in 2026 because the</w:t>
      </w:r>
      <w:r>
        <w:t xml:space="preserve"> </w:t>
      </w:r>
      <w:r>
        <w:rPr>
          <w:b/>
          <w:bCs/>
        </w:rPr>
        <w:t xml:space="preserve">Work Opportunity Tax Credit (WOTC) has not been reauthorized</w:t>
      </w:r>
      <w:r>
        <w:t xml:space="preserve">. EFX is still processing applications to build a pipeline; a retroactive renewal would trigger recovery. Watch for any legislative update.</w:t>
      </w:r>
    </w:p>
    <w:bookmarkEnd w:id="14"/>
    <w:bookmarkStart w:id="15" w:name="Xac73e0fec9e86031a5e40c19f2b3a2d24af2457"/>
    <w:p>
      <w:pPr>
        <w:pStyle w:val="Heading2"/>
      </w:pPr>
      <w:r>
        <w:t xml:space="preserve">The VantageScore / FHFA Catalyst (Free Option)</w:t>
      </w:r>
    </w:p>
    <w:p>
      <w:pPr>
        <w:pStyle w:val="Compact"/>
        <w:numPr>
          <w:ilvl w:val="0"/>
          <w:numId w:val="1003"/>
        </w:numPr>
      </w:pPr>
      <w:r>
        <w:t xml:space="preserve">2026 guidance assumes</w:t>
      </w:r>
      <w:r>
        <w:t xml:space="preserve"> </w:t>
      </w:r>
      <w:r>
        <w:rPr>
          <w:b/>
          <w:bCs/>
        </w:rPr>
        <w:t xml:space="preserve">100% FICO, zero Vantage conversion</w:t>
      </w:r>
      <w:r>
        <w:t xml:space="preserve"> </w:t>
      </w:r>
      <w:r>
        <w:t xml:space="preserve">— so any conversion is pure upside. EFX quantified the prize as</w:t>
      </w:r>
      <w:r>
        <w:t xml:space="preserve"> </w:t>
      </w:r>
      <w:r>
        <w:rPr>
          <w:b/>
          <w:bCs/>
        </w:rPr>
        <w:t xml:space="preserve">~$35M of incremental (100%-margin) EBITDA</w:t>
      </w:r>
      <w:r>
        <w:t xml:space="preserve"> </w:t>
      </w:r>
      <w:r>
        <w:t xml:space="preserve">at current mortgage run-rates on full conversion.</w:t>
      </w:r>
    </w:p>
    <w:p>
      <w:pPr>
        <w:pStyle w:val="Compact"/>
        <w:numPr>
          <w:ilvl w:val="0"/>
          <w:numId w:val="1003"/>
        </w:numPr>
      </w:pPr>
      <w:r>
        <w:t xml:space="preserve">EFX cut its Vantage mortgage price from</w:t>
      </w:r>
      <w:r>
        <w:t xml:space="preserve"> </w:t>
      </w:r>
      <m:oMath>
        <m:r>
          <m:t>4.50</m:t>
        </m:r>
        <m:r>
          <m:t>t</m:t>
        </m:r>
        <m:r>
          <m:t>o</m:t>
        </m:r>
        <m:r>
          <m:rPr>
            <m:sty m:val="p"/>
          </m:rPr>
          <m:t>*</m:t>
        </m:r>
        <m:r>
          <m:rPr>
            <m:sty m:val="p"/>
          </m:rPr>
          <m:t>*</m:t>
        </m:r>
      </m:oMath>
      <w:r>
        <w:t xml:space="preserve">1** (vs. ~</w:t>
      </w:r>
      <m:oMath>
        <m:r>
          <m:t>10</m:t>
        </m:r>
        <m:r>
          <m:t>f</m:t>
        </m:r>
        <m:r>
          <m:t>o</m:t>
        </m:r>
        <m:r>
          <m:t>r</m:t>
        </m:r>
        <m:r>
          <m:t>F</m:t>
        </m:r>
        <m:r>
          <m:t>I</m:t>
        </m:r>
        <m:r>
          <m:t>C</m:t>
        </m:r>
        <m:r>
          <m:t>O</m:t>
        </m:r>
        <m:r>
          <m:rPr>
            <m:sty m:val="p"/>
          </m:rPr>
          <m:t>)</m:t>
        </m:r>
        <m:r>
          <m:t>t</m:t>
        </m:r>
        <m:r>
          <m:t>o</m:t>
        </m:r>
        <m:r>
          <m:t>a</m:t>
        </m:r>
        <m:r>
          <m:t>c</m:t>
        </m:r>
        <m:r>
          <m:t>c</m:t>
        </m:r>
        <m:r>
          <m:t>e</m:t>
        </m:r>
        <m:r>
          <m:t>l</m:t>
        </m:r>
        <m:r>
          <m:t>e</m:t>
        </m:r>
        <m:r>
          <m:t>r</m:t>
        </m:r>
        <m:r>
          <m:t>a</m:t>
        </m:r>
        <m:r>
          <m:t>t</m:t>
        </m:r>
        <m:r>
          <m:t>e</m:t>
        </m:r>
        <m:r>
          <m:t>a</m:t>
        </m:r>
        <m:r>
          <m:t>d</m:t>
        </m:r>
        <m:r>
          <m:t>o</m:t>
        </m:r>
        <m:r>
          <m:t>p</m:t>
        </m:r>
        <m:r>
          <m:t>t</m:t>
        </m:r>
        <m:r>
          <m:t>i</m:t>
        </m:r>
        <m:r>
          <m:t>o</m:t>
        </m:r>
        <m:r>
          <m:t>n</m:t>
        </m:r>
        <m:r>
          <m:rPr>
            <m:sty m:val="p"/>
          </m:rPr>
          <m:t>,</m:t>
        </m:r>
        <m:r>
          <m:t>f</m:t>
        </m:r>
        <m:r>
          <m:t>r</m:t>
        </m:r>
        <m:r>
          <m:t>a</m:t>
        </m:r>
        <m:r>
          <m:t>m</m:t>
        </m:r>
        <m:r>
          <m:t>i</m:t>
        </m:r>
        <m:r>
          <m:t>n</m:t>
        </m:r>
        <m:r>
          <m:t>g</m:t>
        </m:r>
        <m:r>
          <m:t>a</m:t>
        </m:r>
        <m:r>
          <m:rPr>
            <m:sty m:val="p"/>
          </m:rPr>
          <m:t>*</m:t>
        </m:r>
        <m:r>
          <m:rPr>
            <m:sty m:val="p"/>
          </m:rPr>
          <m:t>*</m:t>
        </m:r>
        <m:r>
          <m:t> </m:t>
        </m:r>
      </m:oMath>
      <w:r>
        <w:t xml:space="preserve">1B/yr industry savings** incentive. It has 240+ originators ingesting the free Vantage score and 50+ (non-GSE) already using it in production.</w:t>
      </w:r>
    </w:p>
    <w:p>
      <w:pPr>
        <w:pStyle w:val="Compact"/>
        <w:numPr>
          <w:ilvl w:val="0"/>
          <w:numId w:val="1003"/>
        </w:numPr>
      </w:pPr>
      <w:r>
        <w:t xml:space="preserve">The gating item is</w:t>
      </w:r>
      <w:r>
        <w:t xml:space="preserve"> </w:t>
      </w:r>
      <w:r>
        <w:rPr>
          <w:b/>
          <w:bCs/>
        </w:rPr>
        <w:t xml:space="preserve">FHFA formally activating VantageScore</w:t>
      </w:r>
      <w:r>
        <w:t xml:space="preserve"> </w:t>
      </w:r>
      <w:r>
        <w:t xml:space="preserve">for agency originations. Management said in April they were "getting closer" — an activation announcement, or clearer timing, would be a notable positive catalyst and a differentiator vs. FICO's own narrative. Any update here will move both EFX and FICO.</w:t>
      </w:r>
    </w:p>
    <w:bookmarkEnd w:id="15"/>
    <w:bookmarkStart w:id="16" w:name="capital-allocation--ma"/>
    <w:p>
      <w:pPr>
        <w:pStyle w:val="Heading2"/>
      </w:pPr>
      <w:r>
        <w:t xml:space="preserve">Capital Allocation &amp; M&amp;A</w:t>
      </w:r>
    </w:p>
    <w:p>
      <w:pPr>
        <w:pStyle w:val="Compact"/>
        <w:numPr>
          <w:ilvl w:val="0"/>
          <w:numId w:val="1004"/>
        </w:numPr>
      </w:pPr>
      <w:r>
        <w:t xml:space="preserve">EFX expects</w:t>
      </w:r>
      <w:r>
        <w:t xml:space="preserve"> </w:t>
      </w:r>
      <w:r>
        <w:rPr>
          <w:b/>
          <w:bCs/>
        </w:rPr>
        <w:t xml:space="preserve">&gt;</w:t>
      </w:r>
      <m:oMath>
        <m:r>
          <m:t>1</m:t>
        </m:r>
        <m:r>
          <m:t>B</m:t>
        </m:r>
        <m:r>
          <m:t>f</m:t>
        </m:r>
        <m:r>
          <m:t>r</m:t>
        </m:r>
        <m:r>
          <m:t>e</m:t>
        </m:r>
        <m:r>
          <m:t>e</m:t>
        </m:r>
        <m:r>
          <m:t>c</m:t>
        </m:r>
        <m:r>
          <m:t>a</m:t>
        </m:r>
        <m:r>
          <m:t>s</m:t>
        </m:r>
        <m:r>
          <m:t>h</m:t>
        </m:r>
        <m:r>
          <m:t>f</m:t>
        </m:r>
        <m:r>
          <m:t>l</m:t>
        </m:r>
        <m:r>
          <m:t>o</m:t>
        </m:r>
        <m:r>
          <m:t>w</m:t>
        </m:r>
        <m:r>
          <m:rPr>
            <m:sty m:val="p"/>
          </m:rPr>
          <m:t>*</m:t>
        </m:r>
        <m:r>
          <m:rPr>
            <m:sty m:val="p"/>
          </m:rPr>
          <m:t>*</m:t>
        </m:r>
        <m:r>
          <m:t>a</m:t>
        </m:r>
        <m:r>
          <m:t>n</m:t>
        </m:r>
        <m:r>
          <m:t>d</m:t>
        </m:r>
        <m:r>
          <m:rPr>
            <m:sty m:val="p"/>
          </m:rPr>
          <m:t>*</m:t>
        </m:r>
        <m:r>
          <m:rPr>
            <m:sty m:val="p"/>
          </m:rPr>
          <m:t>*</m:t>
        </m:r>
        <m:r>
          <m:t>100</m:t>
        </m:r>
      </m:oMath>
      <w:r>
        <w:rPr>
          <w:b/>
          <w:bCs/>
        </w:rPr>
        <w:t xml:space="preserve">1.5B of capacity</w:t>
      </w:r>
      <w:r>
        <w:t xml:space="preserve"> </w:t>
      </w:r>
      <w:r>
        <w:t xml:space="preserve">for bolt-on M&amp;A and buybacks. It repurchased</w:t>
      </w:r>
      <w:r>
        <w:t xml:space="preserve"> </w:t>
      </w:r>
      <w:r>
        <w:rPr>
          <w:b/>
          <w:bCs/>
        </w:rPr>
        <w:t xml:space="preserve">$260M (1.3M shares)</w:t>
      </w:r>
      <w:r>
        <w:t xml:space="preserve"> </w:t>
      </w:r>
      <w:r>
        <w:t xml:space="preserve">in Q1 and raised the dividend 12% to $0.56/quarter.</w:t>
      </w:r>
    </w:p>
    <w:p>
      <w:pPr>
        <w:pStyle w:val="Compact"/>
        <w:numPr>
          <w:ilvl w:val="0"/>
          <w:numId w:val="1004"/>
        </w:numPr>
      </w:pPr>
      <w:r>
        <w:t xml:space="preserve">New since the last print: in early July EFX agreed to</w:t>
      </w:r>
      <w:r>
        <w:t xml:space="preserve"> </w:t>
      </w:r>
      <w:r>
        <w:rPr>
          <w:b/>
          <w:bCs/>
        </w:rPr>
        <w:t xml:space="preserve">acquire Círculo de Crédito, Mexico's fastest-growing credit bureau, for a ~$750M enterprise value</w:t>
      </w:r>
      <w:r>
        <w:t xml:space="preserve"> </w:t>
      </w:r>
      <w:r>
        <w:t xml:space="preserve">— a sizable International/data-asset bolt-on. Expect questions on deal economics, funding, accretion, and integration, plus how it affects buyback pace.</w:t>
      </w:r>
    </w:p>
    <w:bookmarkEnd w:id="16"/>
    <w:bookmarkStart w:id="17" w:name="margins--ai"/>
    <w:p>
      <w:pPr>
        <w:pStyle w:val="Heading2"/>
      </w:pPr>
      <w:r>
        <w:t xml:space="preserve">Margins &amp; AI</w:t>
      </w:r>
    </w:p>
    <w:p>
      <w:pPr>
        <w:pStyle w:val="FirstParagraph"/>
      </w:pPr>
      <w:r>
        <w:t xml:space="preserve">Q1 delivered</w:t>
      </w:r>
      <w:r>
        <w:t xml:space="preserve"> </w:t>
      </w:r>
      <w:r>
        <w:rPr>
          <w:b/>
          <w:bCs/>
        </w:rPr>
        <w:t xml:space="preserve">80 bps of ex-FICO EBITDA margin expansion</w:t>
      </w:r>
      <w:r>
        <w:t xml:space="preserve"> </w:t>
      </w:r>
      <w:r>
        <w:t xml:space="preserve">(vs. a 75 bps full-year target and 50 bps long-term framework), driven by operating leverage, mortgage flow-through, and early "AI-for-EFX-operations" productivity (call centers, document processing, coding). Sustaining that above-framework margin expansion — and any hint the long-term 50 bps target could eventually move to 75–100 bps — is a key margin-story watch item.</w:t>
      </w:r>
    </w:p>
    <w:bookmarkEnd w:id="17"/>
    <w:bookmarkStart w:id="18" w:name="bottom-line--what-would-move-the-stock"/>
    <w:p>
      <w:pPr>
        <w:pStyle w:val="Heading2"/>
      </w:pPr>
      <w:r>
        <w:t xml:space="preserve">Bottom Line / What Would Move the Stock</w:t>
      </w:r>
    </w:p>
    <w:p>
      <w:pPr>
        <w:pStyle w:val="Compact"/>
        <w:numPr>
          <w:ilvl w:val="0"/>
          <w:numId w:val="1005"/>
        </w:numPr>
      </w:pPr>
      <w:r>
        <w:rPr>
          <w:b/>
          <w:bCs/>
        </w:rPr>
        <w:t xml:space="preserve">Bull case for the print:</w:t>
      </w:r>
      <w:r>
        <w:t xml:space="preserve"> </w:t>
      </w:r>
      <w:r>
        <w:t xml:space="preserve">ex-FICO growth holds at/above the ~6.5% guide, USIS Diversified Markets reaccelerates as promised, TWN Indicator share gains broaden into auto/card, margins beat again, and management sounds constructive on mortgage run-rates and/or a Vantage/FHFA catalyst.</w:t>
      </w:r>
    </w:p>
    <w:p>
      <w:pPr>
        <w:pStyle w:val="Compact"/>
        <w:numPr>
          <w:ilvl w:val="0"/>
          <w:numId w:val="1005"/>
        </w:numPr>
      </w:pPr>
      <w:r>
        <w:rPr>
          <w:b/>
          <w:bCs/>
        </w:rPr>
        <w:t xml:space="preserve">Bear case:</w:t>
      </w:r>
      <w:r>
        <w:t xml:space="preserve"> </w:t>
      </w:r>
      <w:r>
        <w:t xml:space="preserve">the hawkish rate turn since March pressured mortgage below the framework, management is forced to trim the &gt;20% mortgage assumption or the full-year guide, and Government/USIS softness looks structural rather than timing-driven.</w:t>
      </w:r>
    </w:p>
    <w:p>
      <w:pPr>
        <w:pStyle w:val="Compact"/>
        <w:numPr>
          <w:ilvl w:val="0"/>
          <w:numId w:val="1005"/>
        </w:numPr>
      </w:pPr>
      <w:r>
        <w:rPr>
          <w:b/>
          <w:bCs/>
        </w:rPr>
        <w:t xml:space="preserve">Most likely scenario given the pattern:</w:t>
      </w:r>
      <w:r>
        <w:t xml:space="preserve"> </w:t>
      </w:r>
      <w:r>
        <w:t xml:space="preserve">a modest headline beat with guidance</w:t>
      </w:r>
      <w:r>
        <w:t xml:space="preserve"> </w:t>
      </w:r>
      <w:r>
        <w:rPr>
          <w:i/>
          <w:iCs/>
        </w:rPr>
        <w:t xml:space="preserve">maintained</w:t>
      </w:r>
      <w:r>
        <w:t xml:space="preserve"> </w:t>
      </w:r>
      <w:r>
        <w:t xml:space="preserve">rather than raised, leaving the reaction hostage to (a) mortgage/rate commentary and (b) any VantageScore activation news. After two "sell-the-beat" reactions and a stock already down ~16% YTD, expectations are more reset than they were in February — but the rate backdrop is the wildcard that wasn't there before.</w:t>
      </w:r>
    </w:p>
    <w:p>
      <w:pPr>
        <w:pStyle w:val="FirstParagraph"/>
      </w:pPr>
      <w:r>
        <w:rPr>
          <w:b/>
          <w:bCs/>
        </w:rPr>
        <w:t xml:space="preserve">Key numbers to hold management to:</w:t>
      </w:r>
      <w:r>
        <w:t xml:space="preserve"> </w:t>
      </w:r>
      <w:r>
        <w:t xml:space="preserve">Q2 revenue $1.680–1.710B, adjusted EPS $2.15–2.25, ex-FICO growth ~6.5%, ex-FICO EBITDA margin 34.3–34.7%, and full-year ~10% constant-currency / $8.34–8.74 adjusted EPS.</w:t>
      </w:r>
    </w:p>
    <w:p>
      <w:pPr>
        <w:pStyle w:val="BodyText"/>
      </w:pPr>
      <w:r>
        <w:rPr>
          <w:i/>
          <w:iCs/>
        </w:rPr>
        <w:t xml:space="preserve">Note: figures above are drawn from Equifax's Q1 2026 earnings release and conference call (April 21, 2026), recent daily news digests (including the July 7 Círculo de Crédito announcement and mid-July Fed commentary), and market pricing through July 20, 2026. Forward "expectations" reflect the company's own guidance, not third-party consensus, which I was not able to independently verify.</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2026-07-21T00:37:47Z</dcterms:created>
  <dcterms:modified xsi:type="dcterms:W3CDTF">2026-07-21T00:37:47Z</dcterms:modified>
</cp:coreProperties>
</file>

<file path=docProps/custom.xml><?xml version="1.0" encoding="utf-8"?>
<Properties xmlns="http://schemas.openxmlformats.org/officeDocument/2006/custom-properties" xmlns:vt="http://schemas.openxmlformats.org/officeDocument/2006/docPropsVTypes"/>
</file>