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fx-earnings-predictions--2026-07-21"/>
    <w:p>
      <w:pPr>
        <w:pStyle w:val="Heading1"/>
      </w:pPr>
      <w:r>
        <w:t xml:space="preserve">EFX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~$1.695B vs. cons $1.696B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~$2.25 vs. cons $2.21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U.S. Mortgage Revenue Growth (y/y)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~+13% vs. cons/guide +20%+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6.70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6.75B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~$8.48 vs. cons $8.56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/ FY26 Mortgage Revenue Growth Framework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~+10-14% vs. prior framework +20%+ (Q3-Q4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VantageScore/FHFA EBITDA Upside Baked into Guidance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M</m:t>
              </m:r>
              <m:r>
                <m:t>i</m:t>
              </m:r>
              <m:r>
                <m:t>n</m:t>
              </m:r>
              <m:r>
                <m:t>c</m:t>
              </m:r>
              <m:r>
                <m:t>l</m:t>
              </m:r>
              <m:r>
                <m:t>u</m:t>
              </m:r>
              <m:r>
                <m:t>d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35M potential annual EBITDA upside not yet reflected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Circulo de Credito Deal Accretion/Timing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~closing H2 2026, immaterial to FY26 vs. cons expecting ~$0 FY26 EPS contribution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EPS likely beats on cost/AI-margin leverage but mortgage revenue growth undershoots the 20%+ full-year framework as 30Y rates sit at 6.55%+, well above the assumptions embedded in April guidance; a trim to FY26 revenue/EPS guidance (mirroring the Q1 pattern where even a guidance 'hold' after a beat triggered a 13.7% one-day drop and a subsequent slide to 52-week lows by June) implies analysts will push out-period mortgage and Diversified Markets estimates down further post-print, with sell-side models re-cutting FY26/FY27 numbers over the following days rather than stabilizing, since the Iran-conflict rate overhang and lack of a near-term VantageScore/FHFA catalyst leave no offsetting positive revision driver.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2026-07-21T01:36:21Z</dcterms:created>
  <dcterms:modified xsi:type="dcterms:W3CDTF">2026-07-21T01:36:21Z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